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center"/>
        <w:rPr>
          <w:rFonts w:ascii="Arial" w:hAnsi="Arial" w:eastAsia="Arial" w:cs="Arial"/>
          <w:i w:val="0"/>
          <w:iCs w:val="0"/>
          <w:caps w:val="0"/>
          <w:color w:val="565862"/>
          <w:spacing w:val="0"/>
          <w:sz w:val="24"/>
          <w:szCs w:val="24"/>
        </w:rPr>
      </w:pPr>
      <w:r>
        <w:rPr>
          <w:rStyle w:val="5"/>
          <w:rFonts w:hint="default" w:ascii="Arial" w:hAnsi="Arial" w:eastAsia="Arial" w:cs="Arial"/>
          <w:i w:val="0"/>
          <w:iCs w:val="0"/>
          <w:caps w:val="0"/>
          <w:color w:val="565862"/>
          <w:spacing w:val="0"/>
          <w:kern w:val="0"/>
          <w:sz w:val="36"/>
          <w:szCs w:val="36"/>
          <w:lang w:val="en-US" w:eastAsia="zh-CN" w:bidi="ar"/>
        </w:rPr>
        <w:t>国家发展改革委办公厅 国家能源局综合司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sz w:val="24"/>
          <w:szCs w:val="24"/>
        </w:rPr>
      </w:pPr>
      <w:r>
        <w:rPr>
          <w:rStyle w:val="5"/>
          <w:rFonts w:hint="default" w:ascii="Arial" w:hAnsi="Arial" w:eastAsia="Arial" w:cs="Arial"/>
          <w:i w:val="0"/>
          <w:iCs w:val="0"/>
          <w:caps w:val="0"/>
          <w:color w:val="565862"/>
          <w:spacing w:val="0"/>
          <w:kern w:val="0"/>
          <w:sz w:val="36"/>
          <w:szCs w:val="36"/>
          <w:lang w:val="en-US" w:eastAsia="zh-CN" w:bidi="ar"/>
        </w:rPr>
        <w:t>关于修订省间电力现货交易规则的复函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发改办体改〔2026〕275号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国家电网有限公司：</w:t>
      </w:r>
      <w:r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  你公司《关于省间电力现货交易规则修订工作的请示》收悉。现批复如下。</w:t>
      </w:r>
      <w:r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  一、原则同意修订后的《省间电力现货交易规则》，请你公司会同有关方面按照修订后的规则，认真组织实施省间电力现货交易，切实发挥省间现货交易促进更大范围资源配置、余缺互济的作用。</w:t>
      </w:r>
      <w:r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  二、你公司要强化统筹协同，扎实做好省间电力现货市场与跨电网经营区交易、省间中长期市场、各省（区、市）内电力现货市场的高效衔接。切实维护省间电力现货交易公平竞争秩序，保障各类经营主体平等参与市场交易的合法权益，营造公开透明、公平公正、规范有序的市场环境。</w:t>
      </w:r>
      <w:r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  三、要结合省间电力现货市场运行实际，稳步扩大市场交易范围，加快研究论证用户侧直接参与省间电力现货市场的可行路径，完善计量、结算、风险防控等配套措施，适时推动用户侧主体有序参与。</w:t>
      </w:r>
      <w:r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  四、要统筹兼顾市场交易效率与电网运行安全，严守安全底线，强化交易流程风险防控，完善应急处置机制，及时梳理、解决市场运行中的新情况、新问题，不断优化完善交易规则和运营机制，重大事项及时向国家发展改革委、国家能源局报告。</w:t>
      </w:r>
      <w:r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  附件</w:t>
      </w:r>
      <w:r>
        <w:rPr>
          <w:rFonts w:hint="eastAsia"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：省间电力现货交易规则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 xml:space="preserve">                                </w:t>
      </w:r>
      <w:r>
        <w:rPr>
          <w:rFonts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国家发展改革委办公厅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 xml:space="preserve">                               </w:t>
      </w:r>
      <w:r>
        <w:rPr>
          <w:rFonts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国家能源局综合司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56586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 xml:space="preserve">                                 </w:t>
      </w:r>
      <w:bookmarkStart w:id="0" w:name="_GoBack"/>
      <w:bookmarkEnd w:id="0"/>
      <w:r>
        <w:rPr>
          <w:rFonts w:ascii="宋体" w:hAnsi="宋体" w:eastAsia="宋体" w:cs="宋体"/>
          <w:i w:val="0"/>
          <w:iCs w:val="0"/>
          <w:caps w:val="0"/>
          <w:color w:val="565862"/>
          <w:spacing w:val="0"/>
          <w:kern w:val="0"/>
          <w:sz w:val="24"/>
          <w:szCs w:val="24"/>
          <w:lang w:val="en-US" w:eastAsia="zh-CN" w:bidi="ar"/>
        </w:rPr>
        <w:t>2026年4月14日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EB5C2A"/>
    <w:rsid w:val="686C3B7C"/>
    <w:rsid w:val="6E51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Office_11.8.2.12014_F1E327BC-269C-435d-A152-05C5408002CA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2026-04-27T03:49:00Z</dcterms:created>
  <dc:creator>Administrator</dc:creator>
  <cp:lastModifiedBy>Administrator</cp:lastModifiedBy>
  <dcterms:modified xsi:type="dcterms:W3CDTF">2026-04-27T08:39:18Z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2052-11.8.2.12014</vt:lpwstr>
  </property>
  <property fmtid="{D5CDD505-2E9C-101B-9397-08002B2CF9AE}" pid="3" name="ICV">
    <vt:lpwstr>B0865EEB5A7E4DAFBDA34399C8DD0ABE</vt:lpwstr>
  </property>
</Properties>
</file>