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647"/>
        <w:spacing w:before="48" w:line="219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565862"/>
          <w:spacing w:val="-7"/>
        </w:rPr>
        <w:t>国家发展改革委</w:t>
      </w:r>
      <w:r>
        <w:rPr>
          <w:sz w:val="24"/>
          <w:szCs w:val="24"/>
          <w:color w:val="565862"/>
          <w:spacing w:val="40"/>
        </w:rPr>
        <w:t xml:space="preserve"> </w:t>
      </w:r>
      <w:r>
        <w:rPr>
          <w:sz w:val="24"/>
          <w:szCs w:val="24"/>
          <w:b/>
          <w:bCs/>
          <w:color w:val="565862"/>
          <w:spacing w:val="-7"/>
        </w:rPr>
        <w:t>国家能源局关于</w:t>
      </w:r>
    </w:p>
    <w:p>
      <w:pPr>
        <w:pStyle w:val="BodyText"/>
        <w:ind w:left="2825"/>
        <w:spacing w:before="26" w:line="219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565862"/>
          <w:spacing w:val="-4"/>
        </w:rPr>
        <w:t>印发《电力现货连续运行地区</w:t>
      </w:r>
    </w:p>
    <w:p>
      <w:pPr>
        <w:pStyle w:val="BodyText"/>
        <w:ind w:left="3172"/>
        <w:spacing w:before="28" w:line="219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565862"/>
          <w:spacing w:val="-4"/>
        </w:rPr>
        <w:t>市场建设指引》的通知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3434"/>
        <w:spacing w:before="52" w:line="220" w:lineRule="exact"/>
        <w:rPr/>
      </w:pPr>
      <w:r>
        <w:rPr>
          <w:color w:val="565862"/>
          <w:spacing w:val="-1"/>
          <w:position w:val="1"/>
        </w:rPr>
        <w:t>发改能源〔</w:t>
      </w:r>
      <w:r>
        <w:rPr>
          <w:rFonts w:ascii="Arial" w:hAnsi="Arial" w:eastAsia="Arial" w:cs="Arial"/>
          <w:color w:val="565862"/>
          <w:spacing w:val="-1"/>
          <w:position w:val="1"/>
        </w:rPr>
        <w:t>2025</w:t>
      </w:r>
      <w:r>
        <w:rPr>
          <w:color w:val="565862"/>
          <w:spacing w:val="-1"/>
          <w:position w:val="1"/>
        </w:rPr>
        <w:t>〕</w:t>
      </w:r>
      <w:r>
        <w:rPr>
          <w:rFonts w:ascii="Arial" w:hAnsi="Arial" w:eastAsia="Arial" w:cs="Arial"/>
          <w:color w:val="565862"/>
          <w:spacing w:val="-1"/>
          <w:position w:val="1"/>
        </w:rPr>
        <w:t>1171 </w:t>
      </w:r>
      <w:r>
        <w:rPr>
          <w:color w:val="565862"/>
          <w:spacing w:val="-1"/>
          <w:position w:val="1"/>
        </w:rPr>
        <w:t>号</w:t>
      </w:r>
    </w:p>
    <w:p>
      <w:pPr>
        <w:spacing w:line="379" w:lineRule="auto"/>
        <w:rPr>
          <w:rFonts w:ascii="Arial"/>
          <w:sz w:val="21"/>
        </w:rPr>
      </w:pPr>
      <w:r/>
    </w:p>
    <w:p>
      <w:pPr>
        <w:pStyle w:val="BodyText"/>
        <w:ind w:left="215" w:right="210" w:firstLine="2"/>
        <w:spacing w:before="52" w:line="360" w:lineRule="auto"/>
        <w:jc w:val="both"/>
        <w:rPr/>
      </w:pPr>
      <w:r>
        <w:rPr>
          <w:color w:val="565862"/>
        </w:rPr>
        <w:t>各省、自治区、直辖市、新疆生产建设兵团发展改革委、能</w:t>
      </w:r>
      <w:r>
        <w:rPr>
          <w:color w:val="565862"/>
          <w:spacing w:val="-1"/>
        </w:rPr>
        <w:t>源局，天津市工业和信息化局、内蒙古自治区工业和信息化</w:t>
      </w:r>
      <w:r>
        <w:rPr>
          <w:color w:val="565862"/>
        </w:rPr>
        <w:t>厅、辽宁省工业和信息化厅、广西壮族自治区工业和信息化厅、重</w:t>
      </w:r>
      <w:r>
        <w:rPr>
          <w:color w:val="565862"/>
          <w:spacing w:val="-1"/>
        </w:rPr>
        <w:t>庆市经济和信息化委员会、四川省经济和信息化厅、</w:t>
      </w:r>
      <w:r>
        <w:rPr>
          <w:color w:val="565862"/>
        </w:rPr>
        <w:t>甘肃省工业和信息化厅，北京市城市管理委员会，国家能源局各派出机构，</w:t>
      </w:r>
      <w:r>
        <w:rPr>
          <w:color w:val="565862"/>
          <w:spacing w:val="-1"/>
        </w:rPr>
        <w:t>有关中央企业：</w:t>
      </w:r>
    </w:p>
    <w:p>
      <w:pPr>
        <w:pStyle w:val="BodyText"/>
        <w:ind w:left="219" w:right="208" w:firstLine="317"/>
        <w:spacing w:before="1" w:line="361" w:lineRule="auto"/>
        <w:rPr/>
      </w:pPr>
      <w:r>
        <w:rPr>
          <w:color w:val="565862"/>
        </w:rPr>
        <w:t>为持续完善电力市场机制设计，我们组织制定了《电力现货连续</w:t>
      </w:r>
      <w:r>
        <w:rPr>
          <w:color w:val="565862"/>
          <w:spacing w:val="-1"/>
        </w:rPr>
        <w:t>运行地区市场建设指引》。现印发给你们，请结合</w:t>
      </w:r>
      <w:r>
        <w:rPr>
          <w:color w:val="565862"/>
          <w:spacing w:val="-2"/>
        </w:rPr>
        <w:t>实际做好落实。</w:t>
      </w:r>
    </w:p>
    <w:p>
      <w:pPr>
        <w:pStyle w:val="BodyText"/>
        <w:ind w:left="3824"/>
        <w:spacing w:before="157" w:line="220" w:lineRule="auto"/>
        <w:rPr/>
      </w:pPr>
      <w:r>
        <w:rPr>
          <w:color w:val="565862"/>
          <w:spacing w:val="-4"/>
        </w:rPr>
        <w:t>国家发展改革委</w:t>
      </w:r>
    </w:p>
    <w:p>
      <w:pPr>
        <w:pStyle w:val="BodyText"/>
        <w:ind w:left="3824"/>
        <w:spacing w:before="121" w:line="221" w:lineRule="auto"/>
        <w:rPr/>
      </w:pPr>
      <w:r>
        <w:rPr>
          <w:color w:val="565862"/>
          <w:spacing w:val="-9"/>
        </w:rPr>
        <w:t>国</w:t>
      </w:r>
      <w:r>
        <w:rPr>
          <w:color w:val="565862"/>
          <w:spacing w:val="6"/>
        </w:rPr>
        <w:t xml:space="preserve"> </w:t>
      </w:r>
      <w:r>
        <w:rPr>
          <w:color w:val="565862"/>
          <w:spacing w:val="-9"/>
        </w:rPr>
        <w:t>家</w:t>
      </w:r>
      <w:r>
        <w:rPr>
          <w:color w:val="565862"/>
          <w:spacing w:val="12"/>
        </w:rPr>
        <w:t xml:space="preserve"> </w:t>
      </w:r>
      <w:r>
        <w:rPr>
          <w:color w:val="565862"/>
          <w:spacing w:val="-9"/>
        </w:rPr>
        <w:t>能</w:t>
      </w:r>
      <w:r>
        <w:rPr>
          <w:color w:val="565862"/>
          <w:spacing w:val="4"/>
        </w:rPr>
        <w:t xml:space="preserve"> </w:t>
      </w:r>
      <w:r>
        <w:rPr>
          <w:color w:val="565862"/>
          <w:spacing w:val="-9"/>
        </w:rPr>
        <w:t>源</w:t>
      </w:r>
      <w:r>
        <w:rPr>
          <w:color w:val="565862"/>
          <w:spacing w:val="8"/>
        </w:rPr>
        <w:t xml:space="preserve"> </w:t>
      </w:r>
      <w:r>
        <w:rPr>
          <w:color w:val="565862"/>
          <w:spacing w:val="-9"/>
        </w:rPr>
        <w:t>局</w:t>
      </w:r>
    </w:p>
    <w:p>
      <w:pPr>
        <w:pStyle w:val="BodyText"/>
        <w:ind w:left="3791"/>
        <w:spacing w:before="121" w:line="220" w:lineRule="auto"/>
        <w:rPr/>
      </w:pPr>
      <w:r>
        <w:rPr>
          <w:color w:val="565862"/>
          <w:spacing w:val="-5"/>
        </w:rPr>
        <w:t>2025</w:t>
      </w:r>
      <w:r>
        <w:rPr>
          <w:color w:val="565862"/>
          <w:spacing w:val="-29"/>
        </w:rPr>
        <w:t xml:space="preserve"> </w:t>
      </w:r>
      <w:r>
        <w:rPr>
          <w:color w:val="565862"/>
          <w:spacing w:val="-5"/>
        </w:rPr>
        <w:t>年</w:t>
      </w:r>
      <w:r>
        <w:rPr>
          <w:color w:val="565862"/>
          <w:spacing w:val="-34"/>
        </w:rPr>
        <w:t xml:space="preserve"> </w:t>
      </w:r>
      <w:r>
        <w:rPr>
          <w:color w:val="565862"/>
          <w:spacing w:val="-5"/>
        </w:rPr>
        <w:t>9</w:t>
      </w:r>
      <w:r>
        <w:rPr>
          <w:color w:val="565862"/>
          <w:spacing w:val="-31"/>
        </w:rPr>
        <w:t xml:space="preserve"> </w:t>
      </w:r>
      <w:r>
        <w:rPr>
          <w:color w:val="565862"/>
          <w:spacing w:val="-5"/>
        </w:rPr>
        <w:t>月</w:t>
      </w:r>
      <w:r>
        <w:rPr>
          <w:color w:val="565862"/>
          <w:spacing w:val="-33"/>
        </w:rPr>
        <w:t xml:space="preserve"> </w:t>
      </w:r>
      <w:r>
        <w:rPr>
          <w:color w:val="565862"/>
          <w:spacing w:val="-5"/>
        </w:rPr>
        <w:t>2 日</w:t>
      </w:r>
    </w:p>
    <w:p>
      <w:pPr>
        <w:spacing w:line="46" w:lineRule="exact"/>
        <w:rPr/>
      </w:pPr>
      <w:r/>
    </w:p>
    <w:tbl>
      <w:tblPr>
        <w:tblStyle w:val="TableNormal"/>
        <w:tblW w:w="8719" w:type="dxa"/>
        <w:tblInd w:w="2" w:type="dxa"/>
        <w:shd w:val="clear" w:fill="C8E6FA"/>
        <w:tblLayout w:type="fixed"/>
        <w:tblBorders>
          <w:left w:val="single" w:color="CCCCCC" w:sz="2" w:space="0"/>
          <w:bottom w:val="single" w:color="CCCCCC" w:sz="2" w:space="0"/>
          <w:right w:val="single" w:color="CCCCCC" w:sz="2" w:space="0"/>
          <w:top w:val="single" w:color="CCCCCC" w:sz="2" w:space="0"/>
        </w:tblBorders>
      </w:tblPr>
      <w:tblGrid>
        <w:gridCol w:w="8719"/>
      </w:tblGrid>
      <w:tr>
        <w:trPr>
          <w:trHeight w:val="489" w:hRule="atLeast"/>
        </w:trPr>
        <w:tc>
          <w:tcPr>
            <w:shd w:val="clear" w:fill="C8E6FA"/>
            <w:tcW w:w="8719" w:type="dxa"/>
            <w:vAlign w:val="top"/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ind w:left="223"/>
              <w:spacing w:before="52" w:line="206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b/>
                <w:bCs/>
                <w:color w:val="333333"/>
                <w:spacing w:val="-8"/>
              </w:rPr>
              <w:t>附件：</w:t>
            </w:r>
          </w:p>
        </w:tc>
      </w:tr>
    </w:tbl>
    <w:p>
      <w:pPr>
        <w:spacing w:line="391" w:lineRule="auto"/>
        <w:rPr>
          <w:rFonts w:ascii="Arial"/>
          <w:sz w:val="21"/>
        </w:rPr>
      </w:pPr>
      <w:r/>
    </w:p>
    <w:p>
      <w:pPr>
        <w:pStyle w:val="BodyText"/>
        <w:ind w:left="217"/>
        <w:spacing w:before="53" w:line="220" w:lineRule="exact"/>
        <w:rPr>
          <w:rFonts w:ascii="Arial" w:hAnsi="Arial" w:eastAsia="Arial" w:cs="Arial"/>
        </w:rPr>
      </w:pPr>
      <w:hyperlink w:history="true" r:id="rId1">
        <w:r>
          <w:rPr>
            <w:color w:val="2F6598"/>
            <w:position w:val="2"/>
          </w:rPr>
          <w:t>《电力现货连续运行地区市场建设指引》</w:t>
        </w:r>
        <w:r>
          <w:rPr>
            <w:rFonts w:ascii="Arial" w:hAnsi="Arial" w:eastAsia="Arial" w:cs="Arial"/>
            <w:color w:val="2F6598"/>
            <w:position w:val="2"/>
          </w:rPr>
          <w:t>.pdf</w:t>
        </w:r>
        <w:r>
          <w:rPr>
            <w:color w:val="2F6598"/>
            <w:position w:val="2"/>
          </w:rPr>
          <w:t>《电力现货连续运行地区市场建设指引》</w:t>
        </w:r>
        <w:r>
          <w:rPr>
            <w:rFonts w:ascii="Arial" w:hAnsi="Arial" w:eastAsia="Arial" w:cs="Arial"/>
            <w:color w:val="2F6598"/>
            <w:position w:val="2"/>
          </w:rPr>
          <w:t>.</w:t>
        </w:r>
        <w:r>
          <w:rPr>
            <w:rFonts w:ascii="Arial" w:hAnsi="Arial" w:eastAsia="Arial" w:cs="Arial"/>
            <w:color w:val="2F6598"/>
            <w:spacing w:val="-1"/>
            <w:position w:val="2"/>
          </w:rPr>
          <w:t>ofd</w:t>
        </w:r>
      </w:hyperlink>
    </w:p>
    <w:sectPr>
      <w:pgSz w:w="11906" w:h="16839"/>
      <w:pgMar w:top="1429" w:right="1591" w:bottom="0" w:left="159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hyperlink" Target="https://www.ndrc.gov.cn/xxgk/zcfb/tz/202509/P020250912610548270912.pdf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2026-04-28T22:32:25Z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2026-04-30T13:00:06</vt:filetime>
  </property>
</Properties>
</file>