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451"/>
        <w:spacing w:before="48" w:line="219" w:lineRule="auto"/>
        <w:outlineLvl w:val="0"/>
        <w:rPr>
          <w:sz w:val="24"/>
          <w:szCs w:val="24"/>
        </w:rPr>
      </w:pPr>
      <w:r>
        <w:rPr>
          <w:sz w:val="24"/>
          <w:szCs w:val="24"/>
          <w:b/>
          <w:bCs/>
          <w:color w:val="565862"/>
          <w:spacing w:val="-7"/>
        </w:rPr>
        <w:t>国家发展改革委</w:t>
      </w:r>
      <w:r>
        <w:rPr>
          <w:sz w:val="24"/>
          <w:szCs w:val="24"/>
          <w:color w:val="565862"/>
          <w:spacing w:val="40"/>
        </w:rPr>
        <w:t xml:space="preserve"> </w:t>
      </w:r>
      <w:r>
        <w:rPr>
          <w:sz w:val="24"/>
          <w:szCs w:val="24"/>
          <w:b/>
          <w:bCs/>
          <w:color w:val="565862"/>
          <w:spacing w:val="-7"/>
        </w:rPr>
        <w:t>国家能源局关于</w:t>
      </w:r>
    </w:p>
    <w:p>
      <w:pPr>
        <w:pStyle w:val="BodyText"/>
        <w:ind w:left="2368"/>
        <w:spacing w:before="26" w:line="219" w:lineRule="auto"/>
        <w:outlineLvl w:val="0"/>
        <w:rPr>
          <w:sz w:val="24"/>
          <w:szCs w:val="24"/>
        </w:rPr>
      </w:pPr>
      <w:r>
        <w:rPr>
          <w:sz w:val="24"/>
          <w:szCs w:val="24"/>
          <w:b/>
          <w:bCs/>
          <w:color w:val="565862"/>
          <w:spacing w:val="-3"/>
        </w:rPr>
        <w:t>加快推进虚拟电厂发展的指导意见</w:t>
      </w:r>
    </w:p>
    <w:p>
      <w:pPr>
        <w:spacing w:line="293" w:lineRule="auto"/>
        <w:rPr>
          <w:rFonts w:ascii="Arial"/>
          <w:sz w:val="21"/>
        </w:rPr>
      </w:pPr>
      <w:r/>
    </w:p>
    <w:p>
      <w:pPr>
        <w:pStyle w:val="BodyText"/>
        <w:ind w:left="3284"/>
        <w:spacing w:before="52" w:line="220" w:lineRule="exact"/>
        <w:rPr/>
      </w:pPr>
      <w:r>
        <w:rPr>
          <w:color w:val="565862"/>
          <w:spacing w:val="-1"/>
          <w:position w:val="1"/>
        </w:rPr>
        <w:t>发改能源〔</w:t>
      </w:r>
      <w:r>
        <w:rPr>
          <w:rFonts w:ascii="Arial" w:hAnsi="Arial" w:eastAsia="Arial" w:cs="Arial"/>
          <w:color w:val="565862"/>
          <w:spacing w:val="-1"/>
          <w:position w:val="1"/>
        </w:rPr>
        <w:t>2025</w:t>
      </w:r>
      <w:r>
        <w:rPr>
          <w:color w:val="565862"/>
          <w:spacing w:val="-1"/>
          <w:position w:val="1"/>
        </w:rPr>
        <w:t>〕</w:t>
      </w:r>
      <w:r>
        <w:rPr>
          <w:rFonts w:ascii="Arial" w:hAnsi="Arial" w:eastAsia="Arial" w:cs="Arial"/>
          <w:color w:val="565862"/>
          <w:spacing w:val="-1"/>
          <w:position w:val="1"/>
        </w:rPr>
        <w:t>357 </w:t>
      </w:r>
      <w:r>
        <w:rPr>
          <w:color w:val="565862"/>
          <w:spacing w:val="-1"/>
          <w:position w:val="1"/>
        </w:rPr>
        <w:t>号</w:t>
      </w:r>
    </w:p>
    <w:p>
      <w:pPr>
        <w:spacing w:line="379" w:lineRule="auto"/>
        <w:rPr>
          <w:rFonts w:ascii="Arial"/>
          <w:sz w:val="21"/>
        </w:rPr>
      </w:pPr>
      <w:r/>
    </w:p>
    <w:p>
      <w:pPr>
        <w:pStyle w:val="BodyText"/>
        <w:ind w:left="22" w:right="55"/>
        <w:spacing w:before="52" w:line="360" w:lineRule="auto"/>
        <w:jc w:val="both"/>
        <w:rPr/>
      </w:pPr>
      <w:r>
        <w:rPr>
          <w:color w:val="565862"/>
        </w:rPr>
        <w:t>各省、自治区、直辖市、新疆生产建设兵团发展改革委、能源局，</w:t>
      </w:r>
      <w:r>
        <w:rPr>
          <w:color w:val="565862"/>
          <w:spacing w:val="-1"/>
        </w:rPr>
        <w:t>北京市城市管理委员会，天津市工业和信息化局、辽</w:t>
      </w:r>
      <w:r>
        <w:rPr>
          <w:color w:val="565862"/>
        </w:rPr>
        <w:t>宁省工业和信息化厅、上海市经济和信息化委员会、重庆市经济和</w:t>
      </w:r>
      <w:r>
        <w:rPr>
          <w:color w:val="565862"/>
          <w:spacing w:val="-1"/>
        </w:rPr>
        <w:t>信息化委员会、甘肃省工业和信息化厅，国家能源局</w:t>
      </w:r>
      <w:r>
        <w:rPr>
          <w:color w:val="565862"/>
        </w:rPr>
        <w:t>各派出机构，国家电网有限公司、中国南方电网有限责任公</w:t>
      </w:r>
      <w:r>
        <w:rPr>
          <w:color w:val="565862"/>
          <w:spacing w:val="-1"/>
        </w:rPr>
        <w:t>司，有关中央企业：</w:t>
      </w:r>
    </w:p>
    <w:p>
      <w:pPr>
        <w:pStyle w:val="BodyText"/>
        <w:ind w:left="22" w:firstLine="326"/>
        <w:spacing w:line="360" w:lineRule="auto"/>
        <w:rPr/>
      </w:pPr>
      <w:r>
        <w:rPr>
          <w:color w:val="565862"/>
          <w:spacing w:val="-2"/>
        </w:rPr>
        <w:t>随着新型电力系统建设和电力市场建设的加</w:t>
      </w:r>
      <w:r>
        <w:rPr>
          <w:color w:val="565862"/>
          <w:spacing w:val="-3"/>
        </w:rPr>
        <w:t>快推进，虚拟电厂的发展条件日益成熟、作用日益显著、需求日益增长。</w:t>
      </w:r>
      <w:r>
        <w:rPr>
          <w:color w:val="565862"/>
          <w:spacing w:val="-1"/>
        </w:rPr>
        <w:t>为加快推进虚拟电厂发展，现提出如下意见。</w:t>
      </w:r>
    </w:p>
    <w:p>
      <w:pPr>
        <w:pStyle w:val="BodyText"/>
        <w:ind w:left="342"/>
        <w:spacing w:line="221" w:lineRule="auto"/>
        <w:outlineLvl w:val="1"/>
        <w:rPr/>
      </w:pPr>
      <w:r>
        <w:rPr>
          <w:b/>
          <w:bCs/>
          <w:color w:val="565862"/>
          <w:spacing w:val="-3"/>
        </w:rPr>
        <w:t>一、总体要求</w:t>
      </w:r>
    </w:p>
    <w:p>
      <w:pPr>
        <w:pStyle w:val="BodyText"/>
        <w:ind w:left="19" w:right="55" w:firstLine="338"/>
        <w:spacing w:before="119" w:line="360" w:lineRule="auto"/>
        <w:jc w:val="both"/>
        <w:rPr/>
      </w:pPr>
      <w:r>
        <w:rPr>
          <w:color w:val="565862"/>
          <w:spacing w:val="-1"/>
        </w:rPr>
        <w:t>以习近平新时代中国特色社会主义思想为指导，全面贯彻党的二十大和二十届二中、三中全</w:t>
      </w:r>
      <w:r>
        <w:rPr>
          <w:color w:val="565862"/>
          <w:spacing w:val="-2"/>
        </w:rPr>
        <w:t>会精神，深入落实“</w:t>
      </w:r>
      <w:r>
        <w:rPr>
          <w:color w:val="565862"/>
          <w:spacing w:val="-59"/>
        </w:rPr>
        <w:t xml:space="preserve"> </w:t>
      </w:r>
      <w:r>
        <w:rPr>
          <w:color w:val="565862"/>
          <w:spacing w:val="-2"/>
        </w:rPr>
        <w:t>四</w:t>
      </w:r>
      <w:r>
        <w:rPr>
          <w:color w:val="565862"/>
          <w:spacing w:val="-1"/>
        </w:rPr>
        <w:t>个革命、一个合作</w:t>
      </w:r>
      <w:r>
        <w:rPr>
          <w:color w:val="565862"/>
          <w:spacing w:val="-49"/>
        </w:rPr>
        <w:t xml:space="preserve"> </w:t>
      </w:r>
      <w:r>
        <w:rPr>
          <w:color w:val="565862"/>
          <w:spacing w:val="-1"/>
        </w:rPr>
        <w:t>”能源安全新战略，加快提升虚拟电厂的发展规模和水平，充分发挥调节作用。坚持统一认识，明确</w:t>
      </w:r>
      <w:r>
        <w:rPr>
          <w:color w:val="565862"/>
        </w:rPr>
        <w:t>虚拟电厂的定义和功能定位。坚持开放包容，健全支持虚拟电厂发展的</w:t>
      </w:r>
      <w:r>
        <w:rPr>
          <w:color w:val="565862"/>
          <w:spacing w:val="-1"/>
        </w:rPr>
        <w:t>政策和市场体系。坚持安全可靠，将虚拟电厂纳</w:t>
      </w:r>
      <w:r>
        <w:rPr>
          <w:color w:val="565862"/>
        </w:rPr>
        <w:t>入电力安全管理体系并明确安全管理要求。坚持多元参与，鼓励民营企</w:t>
      </w:r>
      <w:r>
        <w:rPr>
          <w:color w:val="565862"/>
          <w:spacing w:val="-1"/>
        </w:rPr>
        <w:t>业等各类社会资本结合自身优势参与虚拟电厂投</w:t>
      </w:r>
      <w:r>
        <w:rPr>
          <w:color w:val="565862"/>
          <w:spacing w:val="-1"/>
        </w:rPr>
        <w:t>资、建设和运营。</w:t>
      </w:r>
    </w:p>
    <w:p>
      <w:pPr>
        <w:pStyle w:val="BodyText"/>
        <w:ind w:left="20" w:right="55" w:firstLine="323"/>
        <w:spacing w:before="3" w:line="359" w:lineRule="auto"/>
        <w:jc w:val="both"/>
        <w:rPr/>
      </w:pPr>
      <w:r>
        <w:rPr>
          <w:color w:val="565862"/>
          <w:spacing w:val="-2"/>
        </w:rPr>
        <w:t>到</w:t>
      </w:r>
      <w:r>
        <w:rPr>
          <w:color w:val="565862"/>
          <w:spacing w:val="-31"/>
        </w:rPr>
        <w:t xml:space="preserve"> </w:t>
      </w:r>
      <w:r>
        <w:rPr>
          <w:color w:val="565862"/>
          <w:spacing w:val="-2"/>
        </w:rPr>
        <w:t>2027</w:t>
      </w:r>
      <w:r>
        <w:rPr>
          <w:color w:val="565862"/>
          <w:spacing w:val="-34"/>
        </w:rPr>
        <w:t xml:space="preserve"> </w:t>
      </w:r>
      <w:r>
        <w:rPr>
          <w:color w:val="565862"/>
          <w:spacing w:val="-2"/>
        </w:rPr>
        <w:t>年，虚拟电厂建设运行管理机制成熟规范，参与电力市场的机制健全完善，全国虚</w:t>
      </w:r>
      <w:r>
        <w:rPr>
          <w:color w:val="565862"/>
          <w:spacing w:val="-3"/>
        </w:rPr>
        <w:t>拟电厂调节能力达到2000</w:t>
      </w:r>
      <w:r>
        <w:rPr>
          <w:color w:val="565862"/>
          <w:spacing w:val="-1"/>
        </w:rPr>
        <w:t>万千瓦以上。到</w:t>
      </w:r>
      <w:r>
        <w:rPr>
          <w:color w:val="565862"/>
          <w:spacing w:val="-32"/>
        </w:rPr>
        <w:t xml:space="preserve"> </w:t>
      </w:r>
      <w:r>
        <w:rPr>
          <w:color w:val="565862"/>
          <w:spacing w:val="-1"/>
        </w:rPr>
        <w:t>2030</w:t>
      </w:r>
      <w:r>
        <w:rPr>
          <w:color w:val="565862"/>
          <w:spacing w:val="-34"/>
        </w:rPr>
        <w:t xml:space="preserve"> </w:t>
      </w:r>
      <w:r>
        <w:rPr>
          <w:color w:val="565862"/>
          <w:spacing w:val="-1"/>
        </w:rPr>
        <w:t>年，虚拟电厂应用场景进一步拓展，各类商业模式创新发展，全国虚拟电厂调节能力达到</w:t>
      </w:r>
      <w:r>
        <w:rPr>
          <w:color w:val="565862"/>
          <w:spacing w:val="-30"/>
        </w:rPr>
        <w:t xml:space="preserve"> </w:t>
      </w:r>
      <w:r>
        <w:rPr>
          <w:color w:val="565862"/>
          <w:spacing w:val="-1"/>
        </w:rPr>
        <w:t>5000</w:t>
      </w:r>
      <w:r>
        <w:rPr>
          <w:color w:val="565862"/>
          <w:spacing w:val="-30"/>
        </w:rPr>
        <w:t xml:space="preserve"> </w:t>
      </w:r>
      <w:r>
        <w:rPr>
          <w:color w:val="565862"/>
          <w:spacing w:val="-1"/>
        </w:rPr>
        <w:t>万</w:t>
      </w:r>
      <w:r>
        <w:rPr>
          <w:color w:val="565862"/>
          <w:spacing w:val="-2"/>
        </w:rPr>
        <w:t>千瓦以上。</w:t>
      </w:r>
    </w:p>
    <w:p>
      <w:pPr>
        <w:pStyle w:val="BodyText"/>
        <w:ind w:left="342"/>
        <w:spacing w:line="219" w:lineRule="auto"/>
        <w:outlineLvl w:val="1"/>
        <w:rPr/>
      </w:pPr>
      <w:r>
        <w:rPr>
          <w:b/>
          <w:bCs/>
          <w:color w:val="565862"/>
          <w:spacing w:val="-2"/>
        </w:rPr>
        <w:t>二、规范虚拟电厂的定义和定位</w:t>
      </w:r>
    </w:p>
    <w:p>
      <w:pPr>
        <w:pStyle w:val="BodyText"/>
        <w:ind w:left="19" w:firstLine="322"/>
        <w:spacing w:before="122" w:line="360" w:lineRule="auto"/>
        <w:rPr/>
      </w:pPr>
      <w:r>
        <w:rPr>
          <w:b/>
          <w:bCs/>
          <w:color w:val="565862"/>
          <w:spacing w:val="-1"/>
        </w:rPr>
        <w:t>（一）虚拟电厂的定义。</w:t>
      </w:r>
      <w:r>
        <w:rPr>
          <w:color w:val="565862"/>
          <w:spacing w:val="-1"/>
        </w:rPr>
        <w:t>虚拟电厂是基于电力系统架构，运用现代信息通信、系统集成控制等技术，聚合分布式电</w:t>
      </w:r>
      <w:r>
        <w:rPr>
          <w:color w:val="565862"/>
          <w:spacing w:val="-2"/>
        </w:rPr>
        <w:t>源、可调节负荷、储能等各类分散资源，作为新型经营主体协同参与电力系统</w:t>
      </w:r>
      <w:r>
        <w:rPr>
          <w:color w:val="565862"/>
          <w:spacing w:val="-3"/>
        </w:rPr>
        <w:t>优化和电力市场交易的电力运行组织模式。</w:t>
      </w:r>
    </w:p>
    <w:p>
      <w:pPr>
        <w:pStyle w:val="BodyText"/>
        <w:ind w:left="19" w:right="55" w:firstLine="324"/>
        <w:spacing w:line="360" w:lineRule="auto"/>
        <w:rPr/>
      </w:pPr>
      <w:r>
        <w:rPr>
          <w:b/>
          <w:bCs/>
          <w:color w:val="565862"/>
          <w:spacing w:val="-1"/>
        </w:rPr>
        <w:t>（二）虚拟电厂的功能定位。</w:t>
      </w:r>
      <w:r>
        <w:rPr>
          <w:color w:val="565862"/>
          <w:spacing w:val="-1"/>
        </w:rPr>
        <w:t>虚拟电厂对增强电力保供能力、促进新能源消纳、完善电力市场体系具有重要作用。</w:t>
      </w:r>
      <w:r>
        <w:rPr>
          <w:color w:val="565862"/>
        </w:rPr>
        <w:t>在系统运行方面，可提供调峰、调频、备用等多种调节服务。在需求侧</w:t>
      </w:r>
      <w:r>
        <w:rPr>
          <w:color w:val="565862"/>
          <w:spacing w:val="-1"/>
        </w:rPr>
        <w:t>管理方面，可组织负荷资源开展需求响应。在市</w:t>
      </w:r>
      <w:r>
        <w:rPr>
          <w:color w:val="565862"/>
          <w:spacing w:val="-1"/>
        </w:rPr>
        <w:t>场交易方面，可聚合分散的资源参与市场交易。</w:t>
      </w:r>
    </w:p>
    <w:p>
      <w:pPr>
        <w:pStyle w:val="BodyText"/>
        <w:ind w:left="339"/>
        <w:spacing w:line="219" w:lineRule="auto"/>
        <w:outlineLvl w:val="1"/>
        <w:rPr/>
      </w:pPr>
      <w:r>
        <w:rPr>
          <w:b/>
          <w:bCs/>
          <w:color w:val="565862"/>
          <w:spacing w:val="-2"/>
        </w:rPr>
        <w:t>三、积极推动虚拟电厂因地制宜发展</w:t>
      </w:r>
    </w:p>
    <w:p>
      <w:pPr>
        <w:pStyle w:val="BodyText"/>
        <w:ind w:left="20" w:right="55" w:firstLine="324"/>
        <w:spacing w:before="122" w:line="360" w:lineRule="auto"/>
        <w:rPr/>
      </w:pPr>
      <w:r>
        <w:rPr>
          <w:b/>
          <w:bCs/>
          <w:color w:val="565862"/>
          <w:spacing w:val="-1"/>
        </w:rPr>
        <w:t>（三）加快培育虚拟电厂主体。</w:t>
      </w:r>
      <w:r>
        <w:rPr>
          <w:color w:val="565862"/>
          <w:spacing w:val="-1"/>
        </w:rPr>
        <w:t>省级主管部门要结合本地区实际制定虚拟电厂发展方案，在发展规模、业务类型、</w:t>
      </w:r>
      <w:r>
        <w:rPr>
          <w:color w:val="565862"/>
        </w:rPr>
        <w:t>运营模式、技术要求等方面作出安排，针对省级、地市级电力调节需要</w:t>
      </w:r>
      <w:r>
        <w:rPr>
          <w:color w:val="565862"/>
          <w:spacing w:val="-1"/>
        </w:rPr>
        <w:t>，培育不同特点的虚拟电厂主体，完善虚拟电厂</w:t>
      </w:r>
      <w:r>
        <w:rPr>
          <w:color w:val="565862"/>
        </w:rPr>
        <w:t>发展体系，围绕聚合分散电力资源、增强灵活调节能力、减小供电缺口</w:t>
      </w:r>
      <w:r>
        <w:rPr>
          <w:color w:val="565862"/>
          <w:spacing w:val="-1"/>
        </w:rPr>
        <w:t>、促进新能源消纳等场景加快推进虚拟电厂规模</w:t>
      </w:r>
      <w:r>
        <w:rPr>
          <w:color w:val="565862"/>
        </w:rPr>
        <w:t>化发展。鼓励能源企业、能源产业链上下游企业及其他各类企业积极投</w:t>
      </w:r>
      <w:r>
        <w:rPr>
          <w:color w:val="565862"/>
          <w:spacing w:val="-1"/>
        </w:rPr>
        <w:t>资虚拟电厂，大力支持民营企业参与虚拟电厂投</w:t>
      </w:r>
      <w:r>
        <w:rPr>
          <w:color w:val="565862"/>
          <w:spacing w:val="-1"/>
        </w:rPr>
        <w:t>资开发与运营管理，共同推动技术及模式创新。</w:t>
      </w:r>
    </w:p>
    <w:p>
      <w:pPr>
        <w:pStyle w:val="BodyText"/>
        <w:ind w:left="19" w:right="55" w:firstLine="319"/>
        <w:spacing w:before="3" w:line="359" w:lineRule="auto"/>
        <w:rPr/>
      </w:pPr>
      <w:r>
        <w:rPr>
          <w:b/>
          <w:bCs/>
          <w:color w:val="565862"/>
          <w:spacing w:val="-1"/>
        </w:rPr>
        <w:t>（四）持续丰富虚拟电厂商业模式。</w:t>
      </w:r>
      <w:r>
        <w:rPr>
          <w:color w:val="565862"/>
          <w:spacing w:val="-1"/>
        </w:rPr>
        <w:t>省级主管部门及有关单位要推动虚拟电厂立足核心功能，公平参与各类电力市</w:t>
      </w:r>
      <w:r>
        <w:rPr>
          <w:color w:val="565862"/>
        </w:rPr>
        <w:t>场或需求响应，获取相应收益。鼓励虚拟电厂开展业务创新，提供节能</w:t>
      </w:r>
      <w:r>
        <w:rPr>
          <w:color w:val="565862"/>
          <w:spacing w:val="-1"/>
        </w:rPr>
        <w:t>服务、能源数据分析、能源解决方案设计、碳交</w:t>
      </w:r>
      <w:r>
        <w:rPr>
          <w:color w:val="565862"/>
          <w:spacing w:val="-1"/>
        </w:rPr>
        <w:t>易相关服务等综合能源服务，拓宽收益渠道。</w:t>
      </w:r>
    </w:p>
    <w:p>
      <w:pPr>
        <w:pStyle w:val="BodyText"/>
        <w:ind w:left="354"/>
        <w:spacing w:line="219" w:lineRule="auto"/>
        <w:outlineLvl w:val="1"/>
        <w:rPr/>
      </w:pPr>
      <w:r>
        <w:rPr>
          <w:b/>
          <w:bCs/>
          <w:color w:val="565862"/>
          <w:spacing w:val="-3"/>
        </w:rPr>
        <w:t>四、持续提升虚拟电厂建设运行管理水平</w:t>
      </w:r>
    </w:p>
    <w:p>
      <w:pPr>
        <w:pStyle w:val="BodyText"/>
        <w:ind w:left="19" w:right="55" w:firstLine="319"/>
        <w:spacing w:before="122" w:line="360" w:lineRule="auto"/>
        <w:rPr/>
      </w:pPr>
      <w:r>
        <w:rPr>
          <w:b/>
          <w:bCs/>
          <w:color w:val="565862"/>
          <w:spacing w:val="-1"/>
        </w:rPr>
        <w:t>（五）建立健全虚拟电厂建设运行管理机制。</w:t>
      </w:r>
      <w:r>
        <w:rPr>
          <w:color w:val="565862"/>
          <w:spacing w:val="-1"/>
        </w:rPr>
        <w:t>省级主管部门组织制定本地区虚拟电厂建设运行管理办法，</w:t>
      </w:r>
      <w:r>
        <w:rPr>
          <w:color w:val="565862"/>
          <w:spacing w:val="-2"/>
        </w:rPr>
        <w:t>统一省内</w:t>
      </w:r>
      <w:r>
        <w:rPr>
          <w:color w:val="565862"/>
        </w:rPr>
        <w:t>虚拟电厂建设运行管理规范，明确项目建设、接入管理、系统调试、能</w:t>
      </w:r>
      <w:r>
        <w:rPr>
          <w:color w:val="565862"/>
          <w:spacing w:val="-1"/>
        </w:rPr>
        <w:t>力检测、上线运行等流程，提升虚拟电厂项目实</w:t>
      </w:r>
      <w:r>
        <w:rPr>
          <w:color w:val="565862"/>
        </w:rPr>
        <w:t>施和运行效率。动态监测评估虚拟电厂的运行效果、发展趋势等，不断完善虚拟电</w:t>
      </w:r>
      <w:r>
        <w:rPr>
          <w:color w:val="565862"/>
          <w:spacing w:val="-1"/>
        </w:rPr>
        <w:t>厂管理体系。</w:t>
      </w:r>
    </w:p>
    <w:p>
      <w:pPr>
        <w:pStyle w:val="BodyText"/>
        <w:ind w:left="19" w:right="55" w:firstLine="319"/>
        <w:spacing w:line="360" w:lineRule="auto"/>
        <w:rPr/>
      </w:pPr>
      <w:r>
        <w:rPr>
          <w:b/>
          <w:bCs/>
          <w:color w:val="565862"/>
          <w:spacing w:val="-1"/>
        </w:rPr>
        <w:t>（六）完善虚拟电厂接入调用机制。</w:t>
      </w:r>
      <w:r>
        <w:rPr>
          <w:color w:val="565862"/>
          <w:spacing w:val="-1"/>
        </w:rPr>
        <w:t>虚拟电厂根据参与业务的技术要求、电力市场建设进程及运行管理需要接入相</w:t>
      </w:r>
      <w:r>
        <w:rPr>
          <w:color w:val="565862"/>
        </w:rPr>
        <w:t>应系统。参与需求响应的虚拟电厂接入新型电力负荷管理系统（以下</w:t>
      </w:r>
      <w:r>
        <w:rPr>
          <w:color w:val="565862"/>
          <w:spacing w:val="-1"/>
        </w:rPr>
        <w:t>简称负荷系统）；参与电力现货市场、辅助服务市</w:t>
      </w:r>
      <w:r>
        <w:rPr>
          <w:color w:val="565862"/>
        </w:rPr>
        <w:t>场的虚拟电厂接入电力调度自动化系统（以下简称调度系统），或通过</w:t>
      </w:r>
      <w:r>
        <w:rPr>
          <w:color w:val="565862"/>
          <w:spacing w:val="-1"/>
        </w:rPr>
        <w:t>接入负荷系统参与部分交易品种。电力调度机构</w:t>
      </w:r>
      <w:r>
        <w:rPr>
          <w:color w:val="565862"/>
        </w:rPr>
        <w:t>或电力负荷管理中心要根据虚拟电厂发展需要优化工作机制，做好系统</w:t>
      </w:r>
      <w:r>
        <w:rPr>
          <w:color w:val="565862"/>
          <w:spacing w:val="-1"/>
        </w:rPr>
        <w:t>接入服务，开展虚拟电厂调节能力评估，确保满</w:t>
      </w:r>
      <w:r>
        <w:rPr>
          <w:color w:val="565862"/>
        </w:rPr>
        <w:t>足参与电力市场或需求响应的准入要求，高效有序实施虚拟电厂调用</w:t>
      </w:r>
      <w:r>
        <w:rPr>
          <w:color w:val="565862"/>
          <w:spacing w:val="-1"/>
        </w:rPr>
        <w:t>或资源组织。</w:t>
      </w:r>
    </w:p>
    <w:p>
      <w:pPr>
        <w:pStyle w:val="BodyText"/>
        <w:ind w:left="342"/>
        <w:spacing w:line="219" w:lineRule="auto"/>
        <w:rPr/>
      </w:pPr>
      <w:r>
        <w:rPr>
          <w:b/>
          <w:bCs/>
          <w:color w:val="565862"/>
          <w:spacing w:val="-1"/>
        </w:rPr>
        <w:t>（七）提升虚拟电厂资源聚合水平。</w:t>
      </w:r>
      <w:r>
        <w:rPr>
          <w:color w:val="565862"/>
          <w:spacing w:val="-1"/>
        </w:rPr>
        <w:t>虚拟电厂运营商建立相关技术支持系统，具备监测、预测、指令分解执行等信</w:t>
      </w:r>
    </w:p>
    <w:p>
      <w:pPr>
        <w:spacing w:line="219" w:lineRule="auto"/>
        <w:sectPr>
          <w:pgSz w:w="11906" w:h="16839"/>
          <w:pgMar w:top="1429" w:right="1744" w:bottom="0" w:left="1785" w:header="0" w:footer="0" w:gutter="0"/>
        </w:sectPr>
        <w:rPr/>
      </w:pPr>
    </w:p>
    <w:p>
      <w:pPr>
        <w:pStyle w:val="BodyText"/>
        <w:ind w:left="21" w:right="55" w:firstLine="6"/>
        <w:spacing w:before="82" w:line="360" w:lineRule="auto"/>
        <w:jc w:val="both"/>
        <w:rPr/>
      </w:pPr>
      <w:r>
        <w:rPr>
          <w:color w:val="565862"/>
        </w:rPr>
        <w:t>息交互功能，按有关规则响应调度系统或负荷系统的指</w:t>
      </w:r>
      <w:r>
        <w:rPr>
          <w:color w:val="565862"/>
          <w:spacing w:val="-1"/>
        </w:rPr>
        <w:t>令，对聚合资源进行优化调控。参与现货市场的虚拟电厂所聚合</w:t>
      </w:r>
      <w:r>
        <w:rPr>
          <w:color w:val="565862"/>
        </w:rPr>
        <w:t>资源原则上应位于同一市场出清节点，电网条件和市场规则允许的情</w:t>
      </w:r>
      <w:r>
        <w:rPr>
          <w:color w:val="565862"/>
          <w:spacing w:val="-1"/>
        </w:rPr>
        <w:t>况下，也可跨节点聚合资源。单一资源不能同时被</w:t>
      </w:r>
      <w:r>
        <w:rPr>
          <w:color w:val="565862"/>
          <w:spacing w:val="-1"/>
        </w:rPr>
        <w:t>两个及以上虚拟电厂聚合。</w:t>
      </w:r>
    </w:p>
    <w:p>
      <w:pPr>
        <w:pStyle w:val="BodyText"/>
        <w:ind w:left="342"/>
        <w:spacing w:line="219" w:lineRule="auto"/>
        <w:outlineLvl w:val="1"/>
        <w:rPr/>
      </w:pPr>
      <w:r>
        <w:rPr>
          <w:b/>
          <w:bCs/>
          <w:color w:val="565862"/>
          <w:spacing w:val="-2"/>
        </w:rPr>
        <w:t>五、完善虚拟电厂参与电力市场等机制</w:t>
      </w:r>
    </w:p>
    <w:p>
      <w:pPr>
        <w:pStyle w:val="BodyText"/>
        <w:ind w:left="21" w:right="55" w:firstLine="322"/>
        <w:spacing w:before="121" w:line="360" w:lineRule="auto"/>
        <w:rPr/>
      </w:pPr>
      <w:r>
        <w:rPr>
          <w:b/>
          <w:bCs/>
          <w:color w:val="565862"/>
          <w:spacing w:val="-1"/>
        </w:rPr>
        <w:t>（八）明确参与电力市场的准入条件。</w:t>
      </w:r>
      <w:r>
        <w:rPr>
          <w:color w:val="565862"/>
          <w:spacing w:val="-1"/>
        </w:rPr>
        <w:t>虚拟电厂在满足《电力市场注册基本规则》要求及相应市场的准入</w:t>
      </w:r>
      <w:r>
        <w:rPr>
          <w:color w:val="565862"/>
          <w:spacing w:val="-2"/>
        </w:rPr>
        <w:t>要求后，</w:t>
      </w:r>
      <w:r>
        <w:rPr>
          <w:color w:val="565862"/>
        </w:rPr>
        <w:t>可按独立主体身份参与电力中长期市场、现货市场及辅助服务市场。</w:t>
      </w:r>
      <w:r>
        <w:rPr>
          <w:color w:val="565862"/>
          <w:spacing w:val="-1"/>
        </w:rPr>
        <w:t>各类分散资源在被虚拟电厂聚合期间，不得重复参</w:t>
      </w:r>
      <w:r>
        <w:rPr>
          <w:color w:val="565862"/>
        </w:rPr>
        <w:t>与电力市场交易。省级主管部门、国家能源局派出机构结合职责，</w:t>
      </w:r>
      <w:r>
        <w:rPr>
          <w:color w:val="565862"/>
          <w:spacing w:val="-1"/>
        </w:rPr>
        <w:t>明确并组织发布虚拟电厂参与各类电力市场的规则细</w:t>
      </w:r>
      <w:r>
        <w:rPr>
          <w:color w:val="565862"/>
        </w:rPr>
        <w:t>则。在虚拟电厂参与电力市场初期，可结合实际适当放宽准入要求，并根据运行</w:t>
      </w:r>
      <w:r>
        <w:rPr>
          <w:color w:val="565862"/>
          <w:spacing w:val="-1"/>
        </w:rPr>
        <w:t>情况逐步优化。</w:t>
      </w:r>
    </w:p>
    <w:p>
      <w:pPr>
        <w:pStyle w:val="BodyText"/>
        <w:ind w:left="20" w:right="55" w:firstLine="316"/>
        <w:spacing w:before="3" w:line="359" w:lineRule="auto"/>
        <w:rPr/>
      </w:pPr>
      <w:r>
        <w:rPr>
          <w:b/>
          <w:bCs/>
          <w:color w:val="565862"/>
          <w:spacing w:val="-1"/>
        </w:rPr>
        <w:t>（九）健全参与电能量市场的机制。</w:t>
      </w:r>
      <w:r>
        <w:rPr>
          <w:color w:val="565862"/>
          <w:spacing w:val="-1"/>
        </w:rPr>
        <w:t>加快推进虚拟电厂作为资源聚合类新型经营主体整体参与电力中长期市场和现</w:t>
      </w:r>
      <w:r>
        <w:rPr>
          <w:color w:val="565862"/>
        </w:rPr>
        <w:t>货市场交易，并明确相应的电量电费计算原则。虚拟电厂在电力</w:t>
      </w:r>
      <w:r>
        <w:rPr>
          <w:color w:val="565862"/>
          <w:spacing w:val="-1"/>
        </w:rPr>
        <w:t>中长期市场和现货市场开展购售电业务，应具备售电公</w:t>
      </w:r>
      <w:r>
        <w:rPr>
          <w:color w:val="565862"/>
        </w:rPr>
        <w:t>司资质。健全完善中长期市场价格形成机制，适当拉大现货市场限价区</w:t>
      </w:r>
      <w:r>
        <w:rPr>
          <w:color w:val="565862"/>
          <w:spacing w:val="-1"/>
        </w:rPr>
        <w:t>间。在具备条件的地区，积极探索虚拟电厂参与</w:t>
      </w:r>
      <w:r>
        <w:rPr>
          <w:color w:val="565862"/>
          <w:spacing w:val="-1"/>
        </w:rPr>
        <w:t>跨省电力交易。</w:t>
      </w:r>
    </w:p>
    <w:p>
      <w:pPr>
        <w:pStyle w:val="BodyText"/>
        <w:ind w:left="21" w:right="55" w:firstLine="318"/>
        <w:spacing w:line="360" w:lineRule="auto"/>
        <w:rPr/>
      </w:pPr>
      <w:r>
        <w:rPr>
          <w:b/>
          <w:bCs/>
          <w:color w:val="565862"/>
          <w:spacing w:val="-1"/>
        </w:rPr>
        <w:t>（十）完善参与辅助服务市场的机制。</w:t>
      </w:r>
      <w:r>
        <w:rPr>
          <w:color w:val="565862"/>
          <w:spacing w:val="-1"/>
        </w:rPr>
        <w:t>加快推进辅助服务市场向虚拟电厂开放，针对虚拟电厂特点完善交易品种和</w:t>
      </w:r>
      <w:r>
        <w:rPr>
          <w:color w:val="565862"/>
        </w:rPr>
        <w:t>技术要求。完善辅助服务市场交易和价格机制，公平设定各类辅助服</w:t>
      </w:r>
      <w:r>
        <w:rPr>
          <w:color w:val="565862"/>
          <w:spacing w:val="-1"/>
        </w:rPr>
        <w:t>务品种申报价格上限，不应对各类主体设立不同上</w:t>
      </w:r>
      <w:r>
        <w:rPr>
          <w:color w:val="565862"/>
        </w:rPr>
        <w:t>限。建立完善适应虚拟电厂发展阶段的考核机制，保障虚拟电厂调</w:t>
      </w:r>
      <w:r>
        <w:rPr>
          <w:color w:val="565862"/>
          <w:spacing w:val="-1"/>
        </w:rPr>
        <w:t>节能力可靠性。</w:t>
      </w:r>
    </w:p>
    <w:p>
      <w:pPr>
        <w:pStyle w:val="BodyText"/>
        <w:ind w:left="19" w:right="55" w:firstLine="322"/>
        <w:spacing w:line="360" w:lineRule="auto"/>
        <w:rPr/>
      </w:pPr>
      <w:r>
        <w:rPr>
          <w:b/>
          <w:bCs/>
          <w:color w:val="565862"/>
          <w:spacing w:val="-1"/>
        </w:rPr>
        <w:t>（十一）优化需求响应机制。</w:t>
      </w:r>
      <w:r>
        <w:rPr>
          <w:color w:val="565862"/>
          <w:spacing w:val="-1"/>
        </w:rPr>
        <w:t>完善虚拟电厂参与市场化需求响应机制，扩大聚合分散需求侧资源的规模，提升需求</w:t>
      </w:r>
      <w:r>
        <w:rPr>
          <w:color w:val="565862"/>
          <w:spacing w:val="-1"/>
        </w:rPr>
        <w:t>侧资源响应水平。根据“谁服务、谁获利，谁受益、谁承担</w:t>
      </w:r>
      <w:r>
        <w:rPr>
          <w:color w:val="565862"/>
          <w:spacing w:val="-48"/>
        </w:rPr>
        <w:t xml:space="preserve"> </w:t>
      </w:r>
      <w:r>
        <w:rPr>
          <w:color w:val="565862"/>
          <w:spacing w:val="-1"/>
        </w:rPr>
        <w:t>”的原则，合理确定需求响应补偿标准，需求响应价格上限</w:t>
      </w:r>
      <w:r>
        <w:rPr>
          <w:color w:val="565862"/>
        </w:rPr>
        <w:t>由省级价格主管部门研究确定，同步健全需求响应</w:t>
      </w:r>
      <w:r>
        <w:rPr>
          <w:color w:val="565862"/>
          <w:spacing w:val="-1"/>
        </w:rPr>
        <w:t>分摊机制。</w:t>
      </w:r>
    </w:p>
    <w:p>
      <w:pPr>
        <w:pStyle w:val="BodyText"/>
        <w:ind w:left="340"/>
        <w:spacing w:line="219" w:lineRule="auto"/>
        <w:outlineLvl w:val="1"/>
        <w:rPr/>
      </w:pPr>
      <w:r>
        <w:rPr>
          <w:b/>
          <w:bCs/>
          <w:color w:val="565862"/>
          <w:spacing w:val="-2"/>
        </w:rPr>
        <w:t>六、提高虚拟电厂安全运行水平</w:t>
      </w:r>
    </w:p>
    <w:p>
      <w:pPr>
        <w:pStyle w:val="BodyText"/>
        <w:ind w:left="20" w:right="55" w:firstLine="316"/>
        <w:spacing w:before="122" w:line="360" w:lineRule="auto"/>
        <w:rPr/>
      </w:pPr>
      <w:r>
        <w:rPr>
          <w:b/>
          <w:bCs/>
          <w:color w:val="565862"/>
          <w:spacing w:val="-1"/>
        </w:rPr>
        <w:t>（十二）提升虚拟电厂参与电力系统运行的安全水平。</w:t>
      </w:r>
      <w:r>
        <w:rPr>
          <w:color w:val="565862"/>
          <w:spacing w:val="-1"/>
        </w:rPr>
        <w:t>纳入涉网安全管理范围的虚拟电厂，要接</w:t>
      </w:r>
      <w:r>
        <w:rPr>
          <w:color w:val="565862"/>
          <w:spacing w:val="-2"/>
        </w:rPr>
        <w:t>受电力调度机构统</w:t>
      </w:r>
      <w:r>
        <w:rPr>
          <w:color w:val="565862"/>
        </w:rPr>
        <w:t>一调度，执行涉网安全管理规章制度。虚拟电厂与调度系统、负荷系统</w:t>
      </w:r>
      <w:r>
        <w:rPr>
          <w:color w:val="565862"/>
          <w:spacing w:val="-1"/>
        </w:rPr>
        <w:t>等交互应满足相应系统的网络安全防护要求，加</w:t>
      </w:r>
      <w:r>
        <w:rPr>
          <w:color w:val="565862"/>
        </w:rPr>
        <w:t>强软硬件配置和安全监测，确保安全可靠。将虚拟电厂纳入电力安全应</w:t>
      </w:r>
      <w:r>
        <w:rPr>
          <w:color w:val="565862"/>
          <w:spacing w:val="-1"/>
        </w:rPr>
        <w:t>急模拟演练，制定电网应急预案和处置流程，明</w:t>
      </w:r>
      <w:r>
        <w:rPr>
          <w:color w:val="565862"/>
        </w:rPr>
        <w:t>确虚拟电厂与电网企业各部门的责任和分工，不断提升应急响应与快速</w:t>
      </w:r>
      <w:r>
        <w:rPr>
          <w:color w:val="565862"/>
          <w:spacing w:val="-1"/>
        </w:rPr>
        <w:t>恢复水平。虚拟电厂根据接入的系统，定期向电</w:t>
      </w:r>
      <w:r>
        <w:rPr>
          <w:color w:val="565862"/>
        </w:rPr>
        <w:t>力负荷管理中心或电力调度机构提交聚合资源清单和变更申请。电网发</w:t>
      </w:r>
      <w:r>
        <w:rPr>
          <w:color w:val="565862"/>
          <w:spacing w:val="-1"/>
        </w:rPr>
        <w:t>生紧急情况时，虚拟电厂聚合资源应按要求执行</w:t>
      </w:r>
      <w:r>
        <w:rPr>
          <w:color w:val="565862"/>
          <w:spacing w:val="-2"/>
        </w:rPr>
        <w:t>调节指令。</w:t>
      </w:r>
    </w:p>
    <w:p>
      <w:pPr>
        <w:pStyle w:val="BodyText"/>
        <w:ind w:left="20" w:firstLine="321"/>
        <w:spacing w:before="3" w:line="359" w:lineRule="auto"/>
        <w:rPr/>
      </w:pPr>
      <w:r>
        <w:rPr>
          <w:b/>
          <w:bCs/>
          <w:color w:val="565862"/>
          <w:spacing w:val="-1"/>
        </w:rPr>
        <w:t>（十三）提升虚拟电厂自身安全水平。</w:t>
      </w:r>
      <w:r>
        <w:rPr>
          <w:color w:val="565862"/>
          <w:spacing w:val="-1"/>
        </w:rPr>
        <w:t>虚拟电厂运营商要加强自身安全管理，落实技术监督等要求，在相关协议中</w:t>
      </w:r>
      <w:r>
        <w:rPr>
          <w:color w:val="565862"/>
        </w:rPr>
        <w:t>明确虚拟电厂及各分散资源的安全责任。加快网络安全防护体系建设，</w:t>
      </w:r>
      <w:r>
        <w:rPr>
          <w:color w:val="565862"/>
          <w:spacing w:val="-1"/>
        </w:rPr>
        <w:t>严格遵守《电力监控系统安全防护规定》等政策</w:t>
      </w:r>
      <w:r>
        <w:rPr>
          <w:color w:val="565862"/>
          <w:spacing w:val="-2"/>
        </w:rPr>
        <w:t>法规和标准规范，落实网络安全防护要求。加强数据安全管理，使用满足要</w:t>
      </w:r>
      <w:r>
        <w:rPr>
          <w:color w:val="565862"/>
          <w:spacing w:val="-3"/>
        </w:rPr>
        <w:t>求的密码产品，确保数据源头加密和防篡改。</w:t>
      </w:r>
      <w:r>
        <w:rPr>
          <w:color w:val="565862"/>
          <w:spacing w:val="-1"/>
        </w:rPr>
        <w:t>加强异常监测，及时发现数据安全隐患并快速排除。</w:t>
      </w:r>
    </w:p>
    <w:p>
      <w:pPr>
        <w:pStyle w:val="BodyText"/>
        <w:ind w:left="338"/>
        <w:spacing w:before="1" w:line="219" w:lineRule="auto"/>
        <w:outlineLvl w:val="1"/>
        <w:rPr/>
      </w:pPr>
      <w:r>
        <w:rPr>
          <w:b/>
          <w:bCs/>
          <w:color w:val="565862"/>
          <w:spacing w:val="-2"/>
        </w:rPr>
        <w:t>七、推动虚拟电厂技术创新和标准规范体系建设</w:t>
      </w:r>
    </w:p>
    <w:p>
      <w:pPr>
        <w:pStyle w:val="BodyText"/>
        <w:ind w:left="24" w:right="55" w:firstLine="317"/>
        <w:spacing w:before="122" w:line="360" w:lineRule="auto"/>
        <w:rPr/>
      </w:pPr>
      <w:r>
        <w:rPr>
          <w:b/>
          <w:bCs/>
          <w:color w:val="565862"/>
          <w:spacing w:val="-1"/>
        </w:rPr>
        <w:t>（十四）加强虚拟电厂关键技术研发应用。</w:t>
      </w:r>
      <w:r>
        <w:rPr>
          <w:color w:val="565862"/>
          <w:spacing w:val="-1"/>
        </w:rPr>
        <w:t>开展虚拟电厂资源聚合、调节能力、智慧调控、交易辅助决</w:t>
      </w:r>
      <w:r>
        <w:rPr>
          <w:color w:val="565862"/>
          <w:spacing w:val="-2"/>
        </w:rPr>
        <w:t>策、安全稳</w:t>
      </w:r>
      <w:r>
        <w:rPr>
          <w:color w:val="565862"/>
        </w:rPr>
        <w:t>定及评估检测等领域的关键技术攻关，推进智能量测与通信技</w:t>
      </w:r>
      <w:r>
        <w:rPr>
          <w:color w:val="565862"/>
          <w:spacing w:val="-1"/>
        </w:rPr>
        <w:t>术的研发应用，支撑实现分散资源广泛感知、精准响应、</w:t>
      </w:r>
      <w:r>
        <w:rPr>
          <w:color w:val="565862"/>
          <w:spacing w:val="-1"/>
        </w:rPr>
        <w:t>高速互联，持续提升虚拟电厂调节性能和运行控制水平。</w:t>
      </w:r>
    </w:p>
    <w:p>
      <w:pPr>
        <w:pStyle w:val="BodyText"/>
        <w:ind w:left="21" w:right="55" w:firstLine="321"/>
        <w:spacing w:before="2" w:line="359" w:lineRule="auto"/>
        <w:rPr/>
      </w:pPr>
      <w:r>
        <w:rPr>
          <w:b/>
          <w:bCs/>
          <w:color w:val="565862"/>
          <w:spacing w:val="-1"/>
        </w:rPr>
        <w:t>（十五）建立健全虚拟电厂全环节标准体系。</w:t>
      </w:r>
      <w:r>
        <w:rPr>
          <w:color w:val="565862"/>
          <w:spacing w:val="-1"/>
        </w:rPr>
        <w:t>加快推动虚拟电厂聚合响应、并网调控、智能计量、数</w:t>
      </w:r>
      <w:r>
        <w:rPr>
          <w:color w:val="565862"/>
          <w:spacing w:val="-2"/>
        </w:rPr>
        <w:t>据交互、安全</w:t>
      </w:r>
      <w:r>
        <w:rPr>
          <w:color w:val="565862"/>
        </w:rPr>
        <w:t>防护等技术标准的立项、编制与发布。对行业亟需但标准尚未覆盖的</w:t>
      </w:r>
      <w:r>
        <w:rPr>
          <w:color w:val="565862"/>
          <w:spacing w:val="-1"/>
        </w:rPr>
        <w:t>领域，应通过技术指引等政策性文件先行规范。结</w:t>
      </w:r>
      <w:r>
        <w:rPr>
          <w:color w:val="565862"/>
        </w:rPr>
        <w:t>合发展实际修订已发布标准中的不适应条款，增</w:t>
      </w:r>
      <w:r>
        <w:rPr>
          <w:color w:val="565862"/>
          <w:spacing w:val="-1"/>
        </w:rPr>
        <w:t>强标准的适用性。</w:t>
      </w:r>
    </w:p>
    <w:p>
      <w:pPr>
        <w:pStyle w:val="BodyText"/>
        <w:ind w:left="342"/>
        <w:spacing w:line="221" w:lineRule="auto"/>
        <w:outlineLvl w:val="1"/>
        <w:rPr/>
      </w:pPr>
      <w:r>
        <w:rPr>
          <w:b/>
          <w:bCs/>
          <w:color w:val="565862"/>
          <w:spacing w:val="-3"/>
        </w:rPr>
        <w:t>八、加强组织实施</w:t>
      </w:r>
    </w:p>
    <w:p>
      <w:pPr>
        <w:pStyle w:val="BodyText"/>
        <w:ind w:left="19" w:firstLine="322"/>
        <w:spacing w:before="121" w:line="360" w:lineRule="auto"/>
        <w:rPr/>
      </w:pPr>
      <w:r>
        <w:rPr>
          <w:b/>
          <w:bCs/>
          <w:color w:val="565862"/>
          <w:spacing w:val="-1"/>
        </w:rPr>
        <w:t>（十六）落实各方责任。</w:t>
      </w:r>
      <w:r>
        <w:rPr>
          <w:color w:val="565862"/>
          <w:spacing w:val="-1"/>
        </w:rPr>
        <w:t>省级主管部门牵头建立完善虚拟电厂发展工作机制，协调解决推进过程中的问题，支持各</w:t>
      </w:r>
      <w:r>
        <w:rPr>
          <w:color w:val="565862"/>
        </w:rPr>
        <w:t>有关主体建立虚拟电厂发展交流平台；会同有关部门编制虚拟电厂发展</w:t>
      </w:r>
      <w:r>
        <w:rPr>
          <w:color w:val="565862"/>
          <w:spacing w:val="-1"/>
        </w:rPr>
        <w:t>方案、建设运行管理规范等政策文件；与国家能</w:t>
      </w:r>
      <w:r>
        <w:rPr>
          <w:color w:val="565862"/>
          <w:spacing w:val="-2"/>
        </w:rPr>
        <w:t>源局派出机构按分工编制虚拟电厂参与电力市场交易的配套文件。省级价格主</w:t>
      </w:r>
      <w:r>
        <w:rPr>
          <w:color w:val="565862"/>
          <w:spacing w:val="-3"/>
        </w:rPr>
        <w:t>管部门牵头完善相关价格政策。电网企业、</w:t>
      </w:r>
      <w:r>
        <w:rPr>
          <w:color w:val="565862"/>
        </w:rPr>
        <w:t>电力市场运营机构持续提升服务虚拟电厂参与系统运行和电力市场的水</w:t>
      </w:r>
      <w:r>
        <w:rPr>
          <w:color w:val="565862"/>
          <w:spacing w:val="-1"/>
        </w:rPr>
        <w:t>平，虚拟电厂运营商高效组织分散资源参与电力</w:t>
      </w:r>
      <w:r>
        <w:rPr>
          <w:color w:val="565862"/>
        </w:rPr>
        <w:t>系统互动。电网企业与虚拟电厂运营商按各自职责承担相应的电力安全</w:t>
      </w:r>
      <w:r>
        <w:rPr>
          <w:color w:val="565862"/>
          <w:spacing w:val="-1"/>
        </w:rPr>
        <w:t>供应责任。国家能源局派出机构加强监管，及时</w:t>
      </w:r>
      <w:r>
        <w:rPr>
          <w:color w:val="565862"/>
          <w:spacing w:val="-1"/>
        </w:rPr>
        <w:t>发现问题并结合职责推动解决。</w:t>
      </w:r>
    </w:p>
    <w:p>
      <w:pPr>
        <w:pStyle w:val="BodyText"/>
        <w:ind w:left="342"/>
        <w:spacing w:line="219" w:lineRule="auto"/>
        <w:rPr/>
      </w:pPr>
      <w:r>
        <w:rPr>
          <w:b/>
          <w:bCs/>
          <w:color w:val="565862"/>
          <w:spacing w:val="-1"/>
        </w:rPr>
        <w:t>（十七）完善支持政策。</w:t>
      </w:r>
      <w:r>
        <w:rPr>
          <w:color w:val="565862"/>
          <w:spacing w:val="-1"/>
        </w:rPr>
        <w:t>积极落实“两新</w:t>
      </w:r>
      <w:r>
        <w:rPr>
          <w:color w:val="565862"/>
          <w:spacing w:val="-58"/>
        </w:rPr>
        <w:t xml:space="preserve"> </w:t>
      </w:r>
      <w:r>
        <w:rPr>
          <w:color w:val="565862"/>
          <w:spacing w:val="-1"/>
        </w:rPr>
        <w:t>”（大规模设备更新和消费品以旧换新）等</w:t>
      </w:r>
      <w:r>
        <w:rPr>
          <w:color w:val="565862"/>
          <w:spacing w:val="-2"/>
        </w:rPr>
        <w:t>政策，对符合条件的虚拟电厂</w:t>
      </w:r>
    </w:p>
    <w:p>
      <w:pPr>
        <w:spacing w:line="219" w:lineRule="auto"/>
        <w:sectPr>
          <w:pgSz w:w="11906" w:h="16839"/>
          <w:pgMar w:top="1431" w:right="1744" w:bottom="0" w:left="1785" w:header="0" w:footer="0" w:gutter="0"/>
        </w:sectPr>
        <w:rPr/>
      </w:pPr>
    </w:p>
    <w:p>
      <w:pPr>
        <w:pStyle w:val="BodyText"/>
        <w:ind w:left="22"/>
        <w:spacing w:before="82" w:line="220" w:lineRule="auto"/>
        <w:rPr/>
      </w:pPr>
      <w:r>
        <w:rPr>
          <w:color w:val="565862"/>
        </w:rPr>
        <w:t>项目，给予资金支持。鼓励金融机构为虚拟电厂提供低息贷款、信用担</w:t>
      </w:r>
      <w:r>
        <w:rPr>
          <w:color w:val="565862"/>
          <w:spacing w:val="-1"/>
        </w:rPr>
        <w:t>保、绿色债券等支持。</w:t>
      </w:r>
    </w:p>
    <w:p>
      <w:pPr>
        <w:pStyle w:val="BodyText"/>
        <w:ind w:left="20" w:right="13" w:firstLine="324"/>
        <w:spacing w:before="121" w:line="361" w:lineRule="auto"/>
        <w:jc w:val="both"/>
        <w:rPr/>
      </w:pPr>
      <w:r>
        <w:rPr>
          <w:b/>
          <w:bCs/>
          <w:color w:val="565862"/>
          <w:spacing w:val="-1"/>
        </w:rPr>
        <w:t>（十八）加强评估推广。</w:t>
      </w:r>
      <w:r>
        <w:rPr>
          <w:color w:val="565862"/>
          <w:spacing w:val="-1"/>
        </w:rPr>
        <w:t>国家发展改革委、国家能源局结合虚拟电厂建设、运行情况，适时总结先进项目和经验，</w:t>
      </w:r>
      <w:r>
        <w:rPr>
          <w:color w:val="565862"/>
        </w:rPr>
        <w:t>做好推广工作，及时完善考核等相关政策。省级主管部门要加强对虚拟</w:t>
      </w:r>
      <w:r>
        <w:rPr>
          <w:color w:val="565862"/>
          <w:spacing w:val="-1"/>
        </w:rPr>
        <w:t>电厂相关支持政策、标准规范和市场化运营机制</w:t>
      </w:r>
      <w:r>
        <w:rPr>
          <w:color w:val="565862"/>
        </w:rPr>
        <w:t>等的宣传培训和政策解读，培育先进虚拟电厂运营商，形成</w:t>
      </w:r>
      <w:r>
        <w:rPr>
          <w:color w:val="565862"/>
          <w:spacing w:val="-1"/>
        </w:rPr>
        <w:t>良好的发展氛围。</w:t>
      </w:r>
    </w:p>
    <w:p>
      <w:pPr>
        <w:pStyle w:val="BodyText"/>
        <w:ind w:left="3628"/>
        <w:spacing w:before="158" w:line="220" w:lineRule="auto"/>
        <w:rPr/>
      </w:pPr>
      <w:r>
        <w:rPr>
          <w:color w:val="565862"/>
          <w:spacing w:val="-4"/>
        </w:rPr>
        <w:t>国家发展改革委</w:t>
      </w:r>
    </w:p>
    <w:p>
      <w:pPr>
        <w:pStyle w:val="BodyText"/>
        <w:ind w:left="3628"/>
        <w:spacing w:before="121" w:line="221" w:lineRule="auto"/>
        <w:rPr/>
      </w:pPr>
      <w:r>
        <w:rPr>
          <w:color w:val="565862"/>
          <w:spacing w:val="-9"/>
        </w:rPr>
        <w:t>国</w:t>
      </w:r>
      <w:r>
        <w:rPr>
          <w:color w:val="565862"/>
          <w:spacing w:val="6"/>
        </w:rPr>
        <w:t xml:space="preserve"> </w:t>
      </w:r>
      <w:r>
        <w:rPr>
          <w:color w:val="565862"/>
          <w:spacing w:val="-9"/>
        </w:rPr>
        <w:t>家</w:t>
      </w:r>
      <w:r>
        <w:rPr>
          <w:color w:val="565862"/>
          <w:spacing w:val="12"/>
        </w:rPr>
        <w:t xml:space="preserve"> </w:t>
      </w:r>
      <w:r>
        <w:rPr>
          <w:color w:val="565862"/>
          <w:spacing w:val="-9"/>
        </w:rPr>
        <w:t>能</w:t>
      </w:r>
      <w:r>
        <w:rPr>
          <w:color w:val="565862"/>
          <w:spacing w:val="4"/>
        </w:rPr>
        <w:t xml:space="preserve"> </w:t>
      </w:r>
      <w:r>
        <w:rPr>
          <w:color w:val="565862"/>
          <w:spacing w:val="-9"/>
        </w:rPr>
        <w:t>源</w:t>
      </w:r>
      <w:r>
        <w:rPr>
          <w:color w:val="565862"/>
          <w:spacing w:val="8"/>
        </w:rPr>
        <w:t xml:space="preserve"> </w:t>
      </w:r>
      <w:r>
        <w:rPr>
          <w:color w:val="565862"/>
          <w:spacing w:val="-9"/>
        </w:rPr>
        <w:t>局</w:t>
      </w:r>
    </w:p>
    <w:p>
      <w:pPr>
        <w:pStyle w:val="BodyText"/>
        <w:ind w:left="3555"/>
        <w:spacing w:before="120" w:line="220" w:lineRule="auto"/>
        <w:rPr/>
      </w:pPr>
      <w:r>
        <w:rPr>
          <w:color w:val="565862"/>
          <w:spacing w:val="-5"/>
        </w:rPr>
        <w:t>2025</w:t>
      </w:r>
      <w:r>
        <w:rPr>
          <w:color w:val="565862"/>
          <w:spacing w:val="-27"/>
        </w:rPr>
        <w:t xml:space="preserve"> </w:t>
      </w:r>
      <w:r>
        <w:rPr>
          <w:color w:val="565862"/>
          <w:spacing w:val="-5"/>
        </w:rPr>
        <w:t>年</w:t>
      </w:r>
      <w:r>
        <w:rPr>
          <w:color w:val="565862"/>
          <w:spacing w:val="-32"/>
        </w:rPr>
        <w:t xml:space="preserve"> </w:t>
      </w:r>
      <w:r>
        <w:rPr>
          <w:color w:val="565862"/>
          <w:spacing w:val="-5"/>
        </w:rPr>
        <w:t>3</w:t>
      </w:r>
      <w:r>
        <w:rPr>
          <w:color w:val="565862"/>
          <w:spacing w:val="-31"/>
        </w:rPr>
        <w:t xml:space="preserve"> </w:t>
      </w:r>
      <w:r>
        <w:rPr>
          <w:color w:val="565862"/>
          <w:spacing w:val="-5"/>
        </w:rPr>
        <w:t>月</w:t>
      </w:r>
      <w:r>
        <w:rPr>
          <w:color w:val="565862"/>
          <w:spacing w:val="-31"/>
        </w:rPr>
        <w:t xml:space="preserve"> </w:t>
      </w:r>
      <w:r>
        <w:rPr>
          <w:color w:val="565862"/>
          <w:spacing w:val="-5"/>
        </w:rPr>
        <w:t>25 日</w:t>
      </w:r>
    </w:p>
    <w:sectPr>
      <w:pgSz w:w="11906" w:h="16839"/>
      <w:pgMar w:top="1431"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2026-04-28T22:23:18Z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2026-04-30T12:49:34</vt:filetime>
  </property>
</Properties>
</file>