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pStyle w:val="BodyText"/>
        <w:ind w:left="2451"/>
        <w:spacing w:before="48" w:line="219" w:lineRule="auto"/>
        <w:outlineLvl w:val="0"/>
        <w:rPr>
          <w:sz w:val="24"/>
          <w:szCs w:val="24"/>
        </w:rPr>
      </w:pPr>
      <w:r>
        <w:rPr>
          <w:sz w:val="24"/>
          <w:szCs w:val="24"/>
          <w:b/>
          <w:bCs/>
          <w:color w:val="565862"/>
          <w:spacing w:val="-7"/>
        </w:rPr>
        <w:t>国家发展改革委</w:t>
      </w:r>
      <w:r>
        <w:rPr>
          <w:sz w:val="24"/>
          <w:szCs w:val="24"/>
          <w:color w:val="565862"/>
          <w:spacing w:val="40"/>
        </w:rPr>
        <w:t xml:space="preserve"> </w:t>
      </w:r>
      <w:r>
        <w:rPr>
          <w:sz w:val="24"/>
          <w:szCs w:val="24"/>
          <w:b/>
          <w:bCs/>
          <w:color w:val="565862"/>
          <w:spacing w:val="-7"/>
        </w:rPr>
        <w:t>国家能源局关于</w:t>
      </w:r>
    </w:p>
    <w:p>
      <w:pPr>
        <w:pStyle w:val="BodyText"/>
        <w:ind w:left="2129"/>
        <w:spacing w:before="26" w:line="220" w:lineRule="auto"/>
        <w:outlineLvl w:val="0"/>
        <w:rPr>
          <w:sz w:val="24"/>
          <w:szCs w:val="24"/>
        </w:rPr>
      </w:pPr>
      <w:r>
        <w:rPr>
          <w:sz w:val="24"/>
          <w:szCs w:val="24"/>
          <w:b/>
          <w:bCs/>
          <w:color w:val="565862"/>
          <w:spacing w:val="-3"/>
        </w:rPr>
        <w:t>有序推动绿电直连发展有关事项的通知</w:t>
      </w:r>
    </w:p>
    <w:p>
      <w:pPr>
        <w:spacing w:line="291" w:lineRule="auto"/>
        <w:rPr>
          <w:rFonts w:ascii="Arial"/>
          <w:sz w:val="21"/>
        </w:rPr>
      </w:pPr>
      <w:r/>
    </w:p>
    <w:p>
      <w:pPr>
        <w:pStyle w:val="BodyText"/>
        <w:ind w:left="3284"/>
        <w:spacing w:before="52" w:line="220" w:lineRule="exact"/>
        <w:rPr/>
      </w:pPr>
      <w:r>
        <w:rPr>
          <w:color w:val="565862"/>
          <w:spacing w:val="-1"/>
          <w:position w:val="1"/>
        </w:rPr>
        <w:t>发改能源〔</w:t>
      </w:r>
      <w:r>
        <w:rPr>
          <w:rFonts w:ascii="Arial" w:hAnsi="Arial" w:eastAsia="Arial" w:cs="Arial"/>
          <w:color w:val="565862"/>
          <w:spacing w:val="-1"/>
          <w:position w:val="1"/>
        </w:rPr>
        <w:t>2025</w:t>
      </w:r>
      <w:r>
        <w:rPr>
          <w:color w:val="565862"/>
          <w:spacing w:val="-1"/>
          <w:position w:val="1"/>
        </w:rPr>
        <w:t>〕</w:t>
      </w:r>
      <w:r>
        <w:rPr>
          <w:rFonts w:ascii="Arial" w:hAnsi="Arial" w:eastAsia="Arial" w:cs="Arial"/>
          <w:color w:val="565862"/>
          <w:spacing w:val="-1"/>
          <w:position w:val="1"/>
        </w:rPr>
        <w:t>650 </w:t>
      </w:r>
      <w:r>
        <w:rPr>
          <w:color w:val="565862"/>
          <w:spacing w:val="-1"/>
          <w:position w:val="1"/>
        </w:rPr>
        <w:t>号</w:t>
      </w:r>
    </w:p>
    <w:p>
      <w:pPr>
        <w:spacing w:line="379" w:lineRule="auto"/>
        <w:rPr>
          <w:rFonts w:ascii="Arial"/>
          <w:sz w:val="21"/>
        </w:rPr>
      </w:pPr>
      <w:r/>
    </w:p>
    <w:p>
      <w:pPr>
        <w:pStyle w:val="BodyText"/>
        <w:ind w:left="22" w:right="55"/>
        <w:spacing w:before="52" w:line="360" w:lineRule="auto"/>
        <w:jc w:val="both"/>
        <w:rPr/>
      </w:pPr>
      <w:r>
        <w:rPr>
          <w:color w:val="565862"/>
        </w:rPr>
        <w:t>各省、自治区、直辖市、新疆生产建设兵团发展改革委、能源局，</w:t>
      </w:r>
      <w:r>
        <w:rPr>
          <w:color w:val="565862"/>
          <w:spacing w:val="-1"/>
        </w:rPr>
        <w:t>北京市城市管理委员会，天津市工业和信息化局、辽</w:t>
      </w:r>
      <w:r>
        <w:rPr>
          <w:color w:val="565862"/>
        </w:rPr>
        <w:t>宁省工业和信息化厅、上海市经济和信息化委员会、重庆市经济和</w:t>
      </w:r>
      <w:r>
        <w:rPr>
          <w:color w:val="565862"/>
          <w:spacing w:val="-1"/>
        </w:rPr>
        <w:t>信息化委员会、甘肃省工业和信息化厅，国家能源局</w:t>
      </w:r>
      <w:r>
        <w:rPr>
          <w:color w:val="565862"/>
        </w:rPr>
        <w:t>各派出机构，国家电网有限公司、中国南方电网有限责任公</w:t>
      </w:r>
      <w:r>
        <w:rPr>
          <w:color w:val="565862"/>
          <w:spacing w:val="-1"/>
        </w:rPr>
        <w:t>司，有关中央企业：</w:t>
      </w:r>
    </w:p>
    <w:p>
      <w:pPr>
        <w:pStyle w:val="BodyText"/>
        <w:ind w:left="21" w:right="55" w:firstLine="320"/>
        <w:spacing w:before="2" w:line="359" w:lineRule="auto"/>
        <w:jc w:val="both"/>
        <w:rPr/>
      </w:pPr>
      <w:r>
        <w:rPr>
          <w:color w:val="565862"/>
        </w:rPr>
        <w:t>为贯彻落实党的二十届三中全会精神和党中央、国务院关于完善</w:t>
      </w:r>
      <w:r>
        <w:rPr>
          <w:color w:val="565862"/>
          <w:spacing w:val="-1"/>
        </w:rPr>
        <w:t>新能源消纳和调控政策措施的决策部署，探索创新</w:t>
      </w:r>
      <w:r>
        <w:rPr>
          <w:color w:val="565862"/>
        </w:rPr>
        <w:t>新能源生产和消费融合发展模式，促进新能源就近就地消纳，更好满</w:t>
      </w:r>
      <w:r>
        <w:rPr>
          <w:color w:val="565862"/>
          <w:spacing w:val="-1"/>
        </w:rPr>
        <w:t>足企业绿色用能需求，依据《中华人民共和国能源</w:t>
      </w:r>
      <w:r>
        <w:rPr>
          <w:color w:val="565862"/>
          <w:spacing w:val="-1"/>
        </w:rPr>
        <w:t>法》等有关法律法规，制定本通知。</w:t>
      </w:r>
    </w:p>
    <w:p>
      <w:pPr>
        <w:pStyle w:val="BodyText"/>
        <w:ind w:left="342"/>
        <w:spacing w:before="1" w:line="221" w:lineRule="auto"/>
        <w:outlineLvl w:val="1"/>
        <w:rPr/>
      </w:pPr>
      <w:r>
        <w:rPr>
          <w:b/>
          <w:bCs/>
          <w:color w:val="565862"/>
          <w:spacing w:val="-3"/>
        </w:rPr>
        <w:t>一、总体要求</w:t>
      </w:r>
    </w:p>
    <w:p>
      <w:pPr>
        <w:pStyle w:val="BodyText"/>
        <w:ind w:left="21" w:right="55" w:firstLine="321"/>
        <w:spacing w:before="119" w:line="360" w:lineRule="auto"/>
        <w:rPr/>
      </w:pPr>
      <w:r>
        <w:rPr>
          <w:b/>
          <w:bCs/>
          <w:color w:val="565862"/>
          <w:spacing w:val="-1"/>
        </w:rPr>
        <w:t>（一）适用范围。</w:t>
      </w:r>
      <w:r>
        <w:rPr>
          <w:color w:val="565862"/>
          <w:spacing w:val="-1"/>
        </w:rPr>
        <w:t>本文所指的绿电直连是指风电、太阳能发电、生物质发电等新能源不直接接入公共电网，通过直</w:t>
      </w:r>
      <w:r>
        <w:rPr>
          <w:color w:val="565862"/>
        </w:rPr>
        <w:t>连线路向单一电力用户供给绿电，可实现供给电量清晰物理溯源的模</w:t>
      </w:r>
      <w:r>
        <w:rPr>
          <w:color w:val="565862"/>
          <w:spacing w:val="-1"/>
        </w:rPr>
        <w:t>式。其中，直连线路是指电源与电力用户直接连接</w:t>
      </w:r>
      <w:r>
        <w:rPr>
          <w:color w:val="565862"/>
        </w:rPr>
        <w:t>的专用电力线路。按照负荷是否接入公共电网分为并网型和离网型两</w:t>
      </w:r>
      <w:r>
        <w:rPr>
          <w:color w:val="565862"/>
          <w:spacing w:val="-1"/>
        </w:rPr>
        <w:t>类。并网型项目作为整体接入公共电网，与公共电</w:t>
      </w:r>
      <w:r>
        <w:rPr>
          <w:color w:val="565862"/>
        </w:rPr>
        <w:t>网形成清晰的物理界面与责任界面，电源应接入用户和公共电网产权</w:t>
      </w:r>
      <w:r>
        <w:rPr>
          <w:color w:val="565862"/>
          <w:spacing w:val="-1"/>
        </w:rPr>
        <w:t>分界点的用户侧。直连电源为分布式光伏的，按照</w:t>
      </w:r>
      <w:r>
        <w:rPr>
          <w:color w:val="565862"/>
        </w:rPr>
        <w:t>《分布式光伏发电开发建设管理办法》等政策执行。采用直连线路向</w:t>
      </w:r>
      <w:r>
        <w:rPr>
          <w:color w:val="565862"/>
          <w:spacing w:val="-1"/>
        </w:rPr>
        <w:t>多用户开展绿色电力直接供应的，具体办法由国家</w:t>
      </w:r>
      <w:r>
        <w:rPr>
          <w:color w:val="565862"/>
          <w:spacing w:val="-1"/>
        </w:rPr>
        <w:t>发展改革委、国家能源局另行规定。</w:t>
      </w:r>
    </w:p>
    <w:p>
      <w:pPr>
        <w:pStyle w:val="BodyText"/>
        <w:ind w:left="21" w:right="60" w:firstLine="322"/>
        <w:spacing w:line="360" w:lineRule="auto"/>
        <w:rPr/>
      </w:pPr>
      <w:r>
        <w:rPr>
          <w:b/>
          <w:bCs/>
          <w:color w:val="565862"/>
          <w:spacing w:val="-1"/>
        </w:rPr>
        <w:t>（二）发展目标。</w:t>
      </w:r>
      <w:r>
        <w:rPr>
          <w:color w:val="565862"/>
          <w:spacing w:val="-1"/>
        </w:rPr>
        <w:t>绿电直连项目以满足企业绿色用能需求、提升新能源就近就地消纳水平为目标，按照安全优先、</w:t>
      </w:r>
      <w:r>
        <w:rPr>
          <w:color w:val="565862"/>
        </w:rPr>
        <w:t>绿色友好、权责对等、源荷匹配原则建设运行，公平合理承担安全责任、经济责</w:t>
      </w:r>
      <w:r>
        <w:rPr>
          <w:color w:val="565862"/>
          <w:spacing w:val="-1"/>
        </w:rPr>
        <w:t>任与社会责任。</w:t>
      </w:r>
    </w:p>
    <w:p>
      <w:pPr>
        <w:pStyle w:val="BodyText"/>
        <w:ind w:left="342"/>
        <w:spacing w:before="1" w:line="221" w:lineRule="auto"/>
        <w:outlineLvl w:val="1"/>
        <w:rPr/>
      </w:pPr>
      <w:r>
        <w:rPr>
          <w:b/>
          <w:bCs/>
          <w:color w:val="565862"/>
          <w:spacing w:val="-3"/>
        </w:rPr>
        <w:t>二、加强规划引导</w:t>
      </w:r>
    </w:p>
    <w:p>
      <w:pPr>
        <w:pStyle w:val="BodyText"/>
        <w:ind w:left="19" w:right="55" w:firstLine="319"/>
        <w:spacing w:before="120" w:line="360" w:lineRule="auto"/>
        <w:rPr/>
      </w:pPr>
      <w:r>
        <w:rPr>
          <w:b/>
          <w:bCs/>
          <w:color w:val="565862"/>
          <w:spacing w:val="-1"/>
        </w:rPr>
        <w:t>（三）规范项目建设。</w:t>
      </w:r>
      <w:r>
        <w:rPr>
          <w:color w:val="565862"/>
          <w:spacing w:val="-1"/>
        </w:rPr>
        <w:t>新增负荷可配套建设新能源项目。存量负荷在已有燃煤燃气自备电厂足额清缴可再生能源发</w:t>
      </w:r>
      <w:r>
        <w:rPr>
          <w:color w:val="565862"/>
        </w:rPr>
        <w:t>展基金的前提下开展绿电直连，通过压减自备电厂出力，实现清洁能源</w:t>
      </w:r>
      <w:r>
        <w:rPr>
          <w:color w:val="565862"/>
          <w:spacing w:val="-1"/>
        </w:rPr>
        <w:t>替代。有降碳刚性需求的出口外向型企业利用周</w:t>
      </w:r>
      <w:r>
        <w:rPr>
          <w:color w:val="565862"/>
        </w:rPr>
        <w:t>边新能源资源探索开展存量负荷绿电直连。支持尚未开展电网接入工程</w:t>
      </w:r>
      <w:r>
        <w:rPr>
          <w:color w:val="565862"/>
          <w:spacing w:val="-1"/>
        </w:rPr>
        <w:t>建设或因新能源消纳受限等原因无法并网的新能</w:t>
      </w:r>
      <w:r>
        <w:rPr>
          <w:color w:val="565862"/>
          <w:spacing w:val="-1"/>
        </w:rPr>
        <w:t>源项目，在履行相应变更手续后开展绿电直连。</w:t>
      </w:r>
    </w:p>
    <w:p>
      <w:pPr>
        <w:pStyle w:val="BodyText"/>
        <w:ind w:left="19" w:firstLine="322"/>
        <w:spacing w:before="7" w:line="359" w:lineRule="auto"/>
        <w:rPr/>
      </w:pPr>
      <w:r>
        <w:rPr>
          <w:b/>
          <w:bCs/>
          <w:color w:val="565862"/>
          <w:spacing w:val="-1"/>
        </w:rPr>
        <w:t>（四）加强规划统筹。</w:t>
      </w:r>
      <w:r>
        <w:rPr>
          <w:color w:val="565862"/>
          <w:spacing w:val="-1"/>
        </w:rPr>
        <w:t>省级能源主管部门应加强对绿电直连项目的统筹规划，确保绿电直连模式有序发展。项目风</w:t>
      </w:r>
      <w:r>
        <w:rPr>
          <w:color w:val="565862"/>
          <w:spacing w:val="-2"/>
        </w:rPr>
        <w:t>电和太阳能发电规模计入省级能源主管部门制定的新能源发电开发建设方案，</w:t>
      </w:r>
      <w:r>
        <w:rPr>
          <w:color w:val="565862"/>
          <w:spacing w:val="-3"/>
        </w:rPr>
        <w:t>用电负荷规模应有依据和支撑，直连线路、</w:t>
      </w:r>
      <w:r>
        <w:rPr>
          <w:color w:val="565862"/>
        </w:rPr>
        <w:t>接入系统等按电压等级纳入省级或城市的能源电力和国土空间等规划，</w:t>
      </w:r>
      <w:r>
        <w:rPr>
          <w:color w:val="565862"/>
          <w:spacing w:val="-1"/>
        </w:rPr>
        <w:t>并按《企业投资项目核准和备案管理办法》等规</w:t>
      </w:r>
      <w:r>
        <w:rPr>
          <w:color w:val="565862"/>
        </w:rPr>
        <w:t>定进行备案。直连线路应尽量减少线路交叉跨越，确需跨越的应做好安</w:t>
      </w:r>
      <w:r>
        <w:rPr>
          <w:color w:val="565862"/>
          <w:spacing w:val="-1"/>
        </w:rPr>
        <w:t>全措施。项目应编制包含电源、负荷、直连线路</w:t>
      </w:r>
      <w:r>
        <w:rPr>
          <w:color w:val="565862"/>
        </w:rPr>
        <w:t>和接入系统的整体化方案，以专门章节评估系统风险、用电安全、电能</w:t>
      </w:r>
      <w:r>
        <w:rPr>
          <w:color w:val="565862"/>
          <w:spacing w:val="-1"/>
        </w:rPr>
        <w:t>质量等，并提出具体技术措施。项目接入电压等</w:t>
      </w:r>
      <w:r>
        <w:rPr>
          <w:color w:val="565862"/>
          <w:spacing w:val="1"/>
        </w:rPr>
        <w:t>级不超过220（330）千伏；确有必要接入220（330）千伏的，应由省级能源主管部门会同国家能源局派出机构组织电</w:t>
      </w:r>
      <w:r>
        <w:rPr>
          <w:color w:val="565862"/>
        </w:rPr>
        <w:t>网企业、项目单位等开展电力系统安全风险专项评估，确保电网安全稳</w:t>
      </w:r>
      <w:r>
        <w:rPr>
          <w:color w:val="565862"/>
          <w:spacing w:val="-1"/>
        </w:rPr>
        <w:t>定运行。项目应按照整体化方案统一建设，同步</w:t>
      </w:r>
      <w:r>
        <w:rPr>
          <w:color w:val="565862"/>
          <w:spacing w:val="-2"/>
        </w:rPr>
        <w:t>投产。</w:t>
      </w:r>
    </w:p>
    <w:p>
      <w:pPr>
        <w:pStyle w:val="BodyText"/>
        <w:ind w:left="19" w:right="55" w:firstLine="322"/>
        <w:spacing w:line="360" w:lineRule="auto"/>
        <w:rPr/>
      </w:pPr>
      <w:r>
        <w:rPr>
          <w:b/>
          <w:bCs/>
          <w:color w:val="565862"/>
          <w:spacing w:val="-1"/>
        </w:rPr>
        <w:t>（五）鼓励模式创新。</w:t>
      </w:r>
      <w:r>
        <w:rPr>
          <w:color w:val="565862"/>
          <w:spacing w:val="-1"/>
        </w:rPr>
        <w:t>绿电直连项目原则上由负荷作为主责单位。包括民营企业在内的各类经营主体（不含电网企</w:t>
      </w:r>
      <w:r>
        <w:rPr>
          <w:color w:val="565862"/>
        </w:rPr>
        <w:t>业）可投资绿电直连项目。项目电源可由负荷投资，也可由发电企业或</w:t>
      </w:r>
      <w:r>
        <w:rPr>
          <w:color w:val="565862"/>
          <w:spacing w:val="-1"/>
        </w:rPr>
        <w:t>双方成立的合资公司投资，直连专线原则上应由</w:t>
      </w:r>
      <w:r>
        <w:rPr>
          <w:color w:val="565862"/>
        </w:rPr>
        <w:t>负荷、电源主体投资。项目电源和负荷不是同一投资主体的，应签订多</w:t>
      </w:r>
      <w:r>
        <w:rPr>
          <w:color w:val="565862"/>
          <w:spacing w:val="-1"/>
        </w:rPr>
        <w:t>年期购电协议或合同能源管理协议，并就电力设</w:t>
      </w:r>
      <w:r>
        <w:rPr>
          <w:color w:val="565862"/>
        </w:rPr>
        <w:t>施建设、产权划分、运行维护、调度运行、结算关系、违约责任等事项</w:t>
      </w:r>
      <w:r>
        <w:rPr>
          <w:color w:val="565862"/>
          <w:spacing w:val="-1"/>
        </w:rPr>
        <w:t>签订协议。项目中新能源发电项目豁免电力业务</w:t>
      </w:r>
      <w:r>
        <w:rPr>
          <w:color w:val="565862"/>
          <w:spacing w:val="-1"/>
        </w:rPr>
        <w:t>许可，另有规定除外。</w:t>
      </w:r>
    </w:p>
    <w:p>
      <w:pPr>
        <w:pStyle w:val="BodyText"/>
        <w:ind w:left="20" w:firstLine="319"/>
        <w:spacing w:line="360" w:lineRule="auto"/>
        <w:rPr/>
      </w:pPr>
      <w:r>
        <w:rPr>
          <w:b/>
          <w:bCs/>
          <w:color w:val="565862"/>
          <w:spacing w:val="-1"/>
        </w:rPr>
        <w:t>（六）做好源荷匹配。</w:t>
      </w:r>
      <w:r>
        <w:rPr>
          <w:color w:val="565862"/>
          <w:spacing w:val="-1"/>
        </w:rPr>
        <w:t>并网型项目应按照“</w:t>
      </w:r>
      <w:r>
        <w:rPr>
          <w:color w:val="565862"/>
          <w:spacing w:val="-58"/>
        </w:rPr>
        <w:t xml:space="preserve"> </w:t>
      </w:r>
      <w:r>
        <w:rPr>
          <w:color w:val="565862"/>
          <w:spacing w:val="-1"/>
        </w:rPr>
        <w:t>以</w:t>
      </w:r>
      <w:r>
        <w:rPr>
          <w:color w:val="565862"/>
          <w:spacing w:val="-2"/>
        </w:rPr>
        <w:t>荷定源</w:t>
      </w:r>
      <w:r>
        <w:rPr>
          <w:color w:val="565862"/>
          <w:spacing w:val="-59"/>
        </w:rPr>
        <w:t xml:space="preserve"> </w:t>
      </w:r>
      <w:r>
        <w:rPr>
          <w:color w:val="565862"/>
          <w:spacing w:val="-2"/>
        </w:rPr>
        <w:t>”原则科学确定新能源电源类型和装机规模。现货市场连续运</w:t>
      </w:r>
      <w:r>
        <w:rPr>
          <w:color w:val="565862"/>
        </w:rPr>
        <w:t>行地区可采取整体自发自用为主，余电上网为辅的模式；现货市场未连</w:t>
      </w:r>
      <w:r>
        <w:rPr>
          <w:color w:val="565862"/>
          <w:spacing w:val="-1"/>
        </w:rPr>
        <w:t>续运行地区，不允许向公共电网反送。项目整体</w:t>
      </w:r>
      <w:r>
        <w:rPr>
          <w:color w:val="565862"/>
        </w:rPr>
        <w:t>新能源年自发自用电量占总可用发电量的比例应不低于</w:t>
      </w:r>
      <w:r>
        <w:rPr>
          <w:color w:val="565862"/>
          <w:spacing w:val="-31"/>
        </w:rPr>
        <w:t xml:space="preserve"> </w:t>
      </w:r>
      <w:r>
        <w:rPr>
          <w:color w:val="565862"/>
        </w:rPr>
        <w:t>60%，</w:t>
      </w:r>
      <w:r>
        <w:rPr>
          <w:color w:val="565862"/>
          <w:spacing w:val="-47"/>
        </w:rPr>
        <w:t xml:space="preserve"> </w:t>
      </w:r>
      <w:r>
        <w:rPr>
          <w:color w:val="565862"/>
        </w:rPr>
        <w:t>占总用电量的比例应不低于30%，并不</w:t>
      </w:r>
      <w:r>
        <w:rPr>
          <w:color w:val="565862"/>
          <w:spacing w:val="-1"/>
        </w:rPr>
        <w:t>断提高自发自用比</w:t>
      </w:r>
      <w:r>
        <w:rPr>
          <w:color w:val="565862"/>
        </w:rPr>
        <w:t>例，2030</w:t>
      </w:r>
      <w:r>
        <w:rPr>
          <w:color w:val="565862"/>
          <w:spacing w:val="-34"/>
        </w:rPr>
        <w:t xml:space="preserve"> </w:t>
      </w:r>
      <w:r>
        <w:rPr>
          <w:color w:val="565862"/>
        </w:rPr>
        <w:t>年前不低于35%。上网电量占总可用发电量的比例上限由各省级能源主管部门结合实际</w:t>
      </w:r>
      <w:r>
        <w:rPr>
          <w:color w:val="565862"/>
          <w:spacing w:val="-1"/>
        </w:rPr>
        <w:t>确定，一般不超过20%。</w:t>
      </w:r>
      <w:r>
        <w:rPr>
          <w:color w:val="565862"/>
        </w:rPr>
        <w:t>各地可结合项目建设方案中自发自用、上网电量比例和源荷匹配、调节能力等信息，合理设置新能</w:t>
      </w:r>
      <w:r>
        <w:rPr>
          <w:color w:val="565862"/>
          <w:spacing w:val="-1"/>
        </w:rPr>
        <w:t>源利用率目标。</w:t>
      </w:r>
    </w:p>
    <w:p>
      <w:pPr>
        <w:pStyle w:val="BodyText"/>
        <w:ind w:left="339"/>
        <w:spacing w:line="220" w:lineRule="auto"/>
        <w:outlineLvl w:val="1"/>
        <w:rPr/>
      </w:pPr>
      <w:r>
        <w:rPr>
          <w:b/>
          <w:bCs/>
          <w:color w:val="565862"/>
          <w:spacing w:val="-2"/>
        </w:rPr>
        <w:t>三、加强运行管理</w:t>
      </w:r>
    </w:p>
    <w:p>
      <w:pPr>
        <w:spacing w:line="220" w:lineRule="auto"/>
        <w:sectPr>
          <w:pgSz w:w="11906" w:h="16839"/>
          <w:pgMar w:top="1429" w:right="1744" w:bottom="0" w:left="1785" w:header="0" w:footer="0" w:gutter="0"/>
        </w:sectPr>
        <w:rPr/>
      </w:pPr>
    </w:p>
    <w:p>
      <w:pPr>
        <w:pStyle w:val="BodyText"/>
        <w:ind w:left="24" w:right="55" w:firstLine="317"/>
        <w:spacing w:before="82" w:line="360" w:lineRule="auto"/>
        <w:rPr/>
      </w:pPr>
      <w:r>
        <w:rPr>
          <w:b/>
          <w:bCs/>
          <w:color w:val="565862"/>
          <w:spacing w:val="-1"/>
        </w:rPr>
        <w:t>（七）加强安全管理。</w:t>
      </w:r>
      <w:r>
        <w:rPr>
          <w:color w:val="565862"/>
          <w:spacing w:val="-1"/>
        </w:rPr>
        <w:t>绿电直连项目应严格落实各项安全生产管理措施，保证安全稳定运行。项目应及时开展风险</w:t>
      </w:r>
      <w:r>
        <w:rPr>
          <w:color w:val="565862"/>
        </w:rPr>
        <w:t>管控及隐患排查治理，深入评估并及时消除项目内部设备故障以及各类安全</w:t>
      </w:r>
      <w:r>
        <w:rPr>
          <w:color w:val="565862"/>
          <w:spacing w:val="-1"/>
        </w:rPr>
        <w:t>风险，不断增强可靠性。</w:t>
      </w:r>
    </w:p>
    <w:p>
      <w:pPr>
        <w:pStyle w:val="BodyText"/>
        <w:ind w:left="19" w:right="55" w:firstLine="322"/>
        <w:spacing w:before="2" w:line="359" w:lineRule="auto"/>
        <w:rPr/>
      </w:pPr>
      <w:r>
        <w:rPr>
          <w:b/>
          <w:bCs/>
          <w:color w:val="565862"/>
          <w:spacing w:val="-1"/>
        </w:rPr>
        <w:t>（八）做好电网接入。</w:t>
      </w:r>
      <w:r>
        <w:rPr>
          <w:color w:val="565862"/>
          <w:spacing w:val="-1"/>
        </w:rPr>
        <w:t>项目应按标准配置继电保护、安全稳定控制装置、通信设备等二次系统，内部各设施涉网性</w:t>
      </w:r>
      <w:r>
        <w:rPr>
          <w:color w:val="565862"/>
        </w:rPr>
        <w:t>能应满足相关标准，避免因自身原因影响电网安全稳定运行。项目应及</w:t>
      </w:r>
      <w:r>
        <w:rPr>
          <w:color w:val="565862"/>
          <w:spacing w:val="-1"/>
        </w:rPr>
        <w:t>时组织竣工验收，并将竣工验收报告报送省级能</w:t>
      </w:r>
      <w:r>
        <w:rPr>
          <w:color w:val="565862"/>
        </w:rPr>
        <w:t>源主管部门和国家能源局派出机构。电网企业应向满足并网条件的项目公平无歧视提供电</w:t>
      </w:r>
      <w:r>
        <w:rPr>
          <w:color w:val="565862"/>
          <w:spacing w:val="-1"/>
        </w:rPr>
        <w:t>网接入服务。</w:t>
      </w:r>
    </w:p>
    <w:p>
      <w:pPr>
        <w:pStyle w:val="BodyText"/>
        <w:ind w:left="19" w:right="55" w:firstLine="319"/>
        <w:spacing w:before="5" w:line="359" w:lineRule="auto"/>
        <w:rPr/>
      </w:pPr>
      <w:r>
        <w:rPr>
          <w:b/>
          <w:bCs/>
          <w:color w:val="565862"/>
          <w:spacing w:val="-1"/>
        </w:rPr>
        <w:t>（九）加强调度运行管理。</w:t>
      </w:r>
      <w:r>
        <w:rPr>
          <w:color w:val="565862"/>
          <w:spacing w:val="-1"/>
        </w:rPr>
        <w:t>绿电直连项目应实现内部资源协同优化。并网型项目整体及内部电源按照接入电压等级</w:t>
      </w:r>
      <w:r>
        <w:rPr>
          <w:color w:val="565862"/>
        </w:rPr>
        <w:t>和容量规模接受相应调度机构管理，按照为系统提供服务的类别接入新</w:t>
      </w:r>
      <w:r>
        <w:rPr>
          <w:color w:val="565862"/>
          <w:spacing w:val="-1"/>
        </w:rPr>
        <w:t>型电力负荷管理系统或电力调度自动化系统。除</w:t>
      </w:r>
      <w:r>
        <w:rPr>
          <w:color w:val="565862"/>
        </w:rPr>
        <w:t>发生影响公用系统安全稳定运行的突发情况外，调度机构应按照项目自</w:t>
      </w:r>
      <w:r>
        <w:rPr>
          <w:color w:val="565862"/>
          <w:spacing w:val="-1"/>
        </w:rPr>
        <w:t>主安排的发用电曲线下达调度计划。项目内部资</w:t>
      </w:r>
      <w:r>
        <w:rPr>
          <w:color w:val="565862"/>
        </w:rPr>
        <w:t>源应做到可观、可测、可调、可控，并根据《电网运行准则》等向电力</w:t>
      </w:r>
      <w:r>
        <w:rPr>
          <w:color w:val="565862"/>
          <w:spacing w:val="-1"/>
        </w:rPr>
        <w:t>调度机构提供相关资料。项目各业务系统应严格</w:t>
      </w:r>
      <w:r>
        <w:rPr>
          <w:color w:val="565862"/>
        </w:rPr>
        <w:t>执行《电力监控系统安全防护规定》，安装网络安全监测、隔离装置等</w:t>
      </w:r>
      <w:r>
        <w:rPr>
          <w:color w:val="565862"/>
          <w:spacing w:val="-1"/>
        </w:rPr>
        <w:t>网络安全设施，按要求向相关调度机构备案，接</w:t>
      </w:r>
      <w:r>
        <w:rPr>
          <w:color w:val="565862"/>
          <w:spacing w:val="-1"/>
        </w:rPr>
        <w:t>受调度机构开展的技术监督。</w:t>
      </w:r>
    </w:p>
    <w:p>
      <w:pPr>
        <w:pStyle w:val="BodyText"/>
        <w:ind w:left="19" w:right="55" w:firstLine="319"/>
        <w:spacing w:line="360" w:lineRule="auto"/>
        <w:rPr/>
      </w:pPr>
      <w:r>
        <w:rPr>
          <w:b/>
          <w:bCs/>
          <w:color w:val="565862"/>
          <w:spacing w:val="-1"/>
        </w:rPr>
        <w:t>（十）厘清责任界面。</w:t>
      </w:r>
      <w:r>
        <w:rPr>
          <w:color w:val="565862"/>
          <w:spacing w:val="-1"/>
        </w:rPr>
        <w:t>并网型绿电直连项目与公共电网按产权分界点形成清晰明确的安全责任界面，各自在安全责</w:t>
      </w:r>
      <w:r>
        <w:rPr>
          <w:color w:val="565862"/>
        </w:rPr>
        <w:t>任界面内履行相应电力安全风险管控责任。项目应统筹考虑内部源荷特</w:t>
      </w:r>
      <w:r>
        <w:rPr>
          <w:color w:val="565862"/>
          <w:spacing w:val="-1"/>
        </w:rPr>
        <w:t>性、平衡能力、经济收益、与公共电网交换功率</w:t>
      </w:r>
      <w:r>
        <w:rPr>
          <w:color w:val="565862"/>
        </w:rPr>
        <w:t>等因素，自主合理申报并网容量，并与电网企业协商确定并网容量以外</w:t>
      </w:r>
      <w:r>
        <w:rPr>
          <w:color w:val="565862"/>
          <w:spacing w:val="-1"/>
        </w:rPr>
        <w:t>的供电责任和费用。电网企业应按照项目申报容</w:t>
      </w:r>
      <w:r>
        <w:rPr>
          <w:color w:val="565862"/>
        </w:rPr>
        <w:t>量和有关协议履行供电责任。项目应调节内部发电和负荷，确保项目与</w:t>
      </w:r>
      <w:r>
        <w:rPr>
          <w:color w:val="565862"/>
          <w:spacing w:val="-1"/>
        </w:rPr>
        <w:t>公共电网的交换功率不超过申报容量，自行承担</w:t>
      </w:r>
      <w:r>
        <w:rPr>
          <w:color w:val="565862"/>
          <w:spacing w:val="-1"/>
        </w:rPr>
        <w:t>由于自身原因造成供电中断的相关责任。</w:t>
      </w:r>
    </w:p>
    <w:p>
      <w:pPr>
        <w:pStyle w:val="BodyText"/>
        <w:ind w:left="21" w:right="55" w:firstLine="320"/>
        <w:spacing w:before="3" w:line="359" w:lineRule="auto"/>
        <w:rPr/>
      </w:pPr>
      <w:r>
        <w:rPr>
          <w:b/>
          <w:bCs/>
          <w:color w:val="565862"/>
          <w:spacing w:val="-1"/>
        </w:rPr>
        <w:t>（十一）鼓励提升系统友好性。</w:t>
      </w:r>
      <w:r>
        <w:rPr>
          <w:color w:val="565862"/>
          <w:spacing w:val="-1"/>
        </w:rPr>
        <w:t>并网型绿电直连项目应通过合理配置储能、挖掘负荷灵活调节潜力等方式，充分提</w:t>
      </w:r>
      <w:r>
        <w:rPr>
          <w:color w:val="565862"/>
        </w:rPr>
        <w:t>升项目灵活性调节能力，尽可能减小系统调节压力。项目规划</w:t>
      </w:r>
      <w:r>
        <w:rPr>
          <w:color w:val="565862"/>
          <w:spacing w:val="-1"/>
        </w:rPr>
        <w:t>方案应合理确定项目最大的负荷峰谷差率，项目与公共电</w:t>
      </w:r>
      <w:r>
        <w:rPr>
          <w:color w:val="565862"/>
        </w:rPr>
        <w:t>网交换功率的电力峰谷差率不高于方案规划值。在新能源消纳困难时</w:t>
      </w:r>
      <w:r>
        <w:rPr>
          <w:color w:val="565862"/>
          <w:spacing w:val="-1"/>
        </w:rPr>
        <w:t>段，项目不应向公共电网反送电。项目应按照有关</w:t>
      </w:r>
      <w:r>
        <w:rPr>
          <w:color w:val="565862"/>
          <w:spacing w:val="-1"/>
        </w:rPr>
        <w:t>管理要求和技术标准做好无功和电能质量管理。</w:t>
      </w:r>
    </w:p>
    <w:p>
      <w:pPr>
        <w:pStyle w:val="BodyText"/>
        <w:ind w:left="354"/>
        <w:spacing w:line="219" w:lineRule="auto"/>
        <w:outlineLvl w:val="1"/>
        <w:rPr/>
      </w:pPr>
      <w:r>
        <w:rPr>
          <w:b/>
          <w:bCs/>
          <w:color w:val="565862"/>
          <w:spacing w:val="-4"/>
        </w:rPr>
        <w:t>四、交易与价格机制</w:t>
      </w:r>
    </w:p>
    <w:p>
      <w:pPr>
        <w:pStyle w:val="BodyText"/>
        <w:ind w:left="22" w:right="12" w:firstLine="307"/>
        <w:spacing w:before="122" w:line="360" w:lineRule="auto"/>
        <w:rPr/>
      </w:pPr>
      <w:r>
        <w:rPr>
          <w:b/>
          <w:bCs/>
          <w:color w:val="565862"/>
          <w:spacing w:val="-3"/>
        </w:rPr>
        <w:t>（十二）作为整体参与市场。</w:t>
      </w:r>
      <w:r>
        <w:rPr>
          <w:color w:val="565862"/>
          <w:spacing w:val="-3"/>
        </w:rPr>
        <w:t>并网型绿电直连项目享有平等的市场地位，按照《电力市场注册基本规则》进行注册，</w:t>
      </w:r>
      <w:r>
        <w:rPr>
          <w:color w:val="565862"/>
        </w:rPr>
        <w:t>原则上应作为整体参与电力市场交易，根据市场交易结果安排生</w:t>
      </w:r>
      <w:r>
        <w:rPr>
          <w:color w:val="565862"/>
          <w:spacing w:val="-1"/>
        </w:rPr>
        <w:t>产，并按照与公共电网的交换功率进行结算。项目负荷</w:t>
      </w:r>
      <w:r>
        <w:rPr>
          <w:color w:val="565862"/>
        </w:rPr>
        <w:t>不得由电网企业代理购电。项目电源和负荷不是同一投资主体的，也可分别注册，以聚合形</w:t>
      </w:r>
      <w:r>
        <w:rPr>
          <w:color w:val="565862"/>
          <w:spacing w:val="-1"/>
        </w:rPr>
        <w:t>式参与电力市场交易。</w:t>
      </w:r>
    </w:p>
    <w:p>
      <w:pPr>
        <w:pStyle w:val="BodyText"/>
        <w:ind w:left="19" w:firstLine="305"/>
        <w:spacing w:line="360" w:lineRule="auto"/>
        <w:rPr/>
      </w:pPr>
      <w:r>
        <w:rPr>
          <w:b/>
          <w:bCs/>
          <w:color w:val="565862"/>
          <w:spacing w:val="-2"/>
        </w:rPr>
        <w:t>（十三）合理缴纳相关费用。</w:t>
      </w:r>
      <w:r>
        <w:rPr>
          <w:color w:val="565862"/>
          <w:spacing w:val="-2"/>
        </w:rPr>
        <w:t>绿电直连项目应</w:t>
      </w:r>
      <w:r>
        <w:rPr>
          <w:color w:val="565862"/>
          <w:spacing w:val="-3"/>
        </w:rPr>
        <w:t>按国务院价格、财政主管部门相关规定缴纳输配电费、系统运行费用、</w:t>
      </w:r>
      <w:r>
        <w:rPr>
          <w:color w:val="565862"/>
        </w:rPr>
        <w:t>政策性交叉补贴、政府性基金及附加等费用。各地不得违反国家规定</w:t>
      </w:r>
      <w:r>
        <w:rPr>
          <w:color w:val="565862"/>
          <w:spacing w:val="-1"/>
        </w:rPr>
        <w:t>减免有关费用。</w:t>
      </w:r>
    </w:p>
    <w:p>
      <w:pPr>
        <w:pStyle w:val="BodyText"/>
        <w:ind w:left="20" w:right="55" w:firstLine="321"/>
        <w:spacing w:before="3" w:line="359" w:lineRule="auto"/>
        <w:rPr/>
      </w:pPr>
      <w:r>
        <w:rPr>
          <w:b/>
          <w:bCs/>
          <w:color w:val="565862"/>
          <w:spacing w:val="-1"/>
        </w:rPr>
        <w:t>（十四）规范计量结算。</w:t>
      </w:r>
      <w:r>
        <w:rPr>
          <w:color w:val="565862"/>
          <w:spacing w:val="-1"/>
        </w:rPr>
        <w:t>并网型绿电直连项目以项目接入点作为计量、结算参考点，作为整体与公共电网进行电费</w:t>
      </w:r>
      <w:r>
        <w:rPr>
          <w:color w:val="565862"/>
        </w:rPr>
        <w:t>结算。项目应具备分表计量条件，在内部发电、厂用电、自发自用、储</w:t>
      </w:r>
      <w:r>
        <w:rPr>
          <w:color w:val="565862"/>
          <w:spacing w:val="-1"/>
        </w:rPr>
        <w:t>能等关口安装符合相关标准和有关部门认可的双</w:t>
      </w:r>
      <w:r>
        <w:rPr>
          <w:color w:val="565862"/>
        </w:rPr>
        <w:t>向计量装置。禁止绕越装设的各电能计量装置用电。项目电源和负荷不</w:t>
      </w:r>
      <w:r>
        <w:rPr>
          <w:color w:val="565862"/>
          <w:spacing w:val="-1"/>
        </w:rPr>
        <w:t>是同一投资主体的，双方之间交易电量及上网电</w:t>
      </w:r>
      <w:r>
        <w:rPr>
          <w:color w:val="565862"/>
          <w:spacing w:val="-1"/>
        </w:rPr>
        <w:t>量应按照绿证和绿色电力交易有关规定执行。</w:t>
      </w:r>
    </w:p>
    <w:p>
      <w:pPr>
        <w:pStyle w:val="BodyText"/>
        <w:ind w:left="342"/>
        <w:spacing w:before="1" w:line="220" w:lineRule="auto"/>
        <w:outlineLvl w:val="1"/>
        <w:rPr/>
      </w:pPr>
      <w:r>
        <w:rPr>
          <w:b/>
          <w:bCs/>
          <w:color w:val="565862"/>
          <w:spacing w:val="-3"/>
        </w:rPr>
        <w:t>五、加强组织保障</w:t>
      </w:r>
    </w:p>
    <w:p>
      <w:pPr>
        <w:pStyle w:val="BodyText"/>
        <w:ind w:left="19" w:right="55" w:firstLine="335"/>
        <w:spacing w:before="124" w:line="360" w:lineRule="auto"/>
        <w:jc w:val="both"/>
        <w:rPr/>
      </w:pPr>
      <w:r>
        <w:rPr>
          <w:color w:val="565862"/>
          <w:spacing w:val="-1"/>
        </w:rPr>
        <w:t>国家发展改革委、国家能源局加强对绿电直连模式的指导，及时评估成效，确保工作平稳推进，同时加强对其他绿</w:t>
      </w:r>
      <w:r>
        <w:rPr>
          <w:color w:val="565862"/>
        </w:rPr>
        <w:t>色电源开展直连的研究。国家能源局各派出机构应加强监管，及时跟踪</w:t>
      </w:r>
      <w:r>
        <w:rPr>
          <w:color w:val="565862"/>
          <w:spacing w:val="-1"/>
        </w:rPr>
        <w:t>监测辖区内项目建设与政策执行情况，积极推动</w:t>
      </w:r>
      <w:r>
        <w:rPr>
          <w:color w:val="565862"/>
        </w:rPr>
        <w:t>各方按要求规范开展项目建设运行。省级能源主管部门应基于本省电力</w:t>
      </w:r>
      <w:r>
        <w:rPr>
          <w:color w:val="565862"/>
          <w:spacing w:val="-1"/>
        </w:rPr>
        <w:t>供需形势、消纳条件等实际情况，进一步细化就</w:t>
      </w:r>
      <w:r>
        <w:rPr>
          <w:color w:val="565862"/>
        </w:rPr>
        <w:t>近就地消纳距离、上网电量比例、退出机制等具体要求，引导项目科学</w:t>
      </w:r>
      <w:r>
        <w:rPr>
          <w:color w:val="565862"/>
          <w:spacing w:val="-1"/>
        </w:rPr>
        <w:t>合理评估需求，避免出现实际运行与设计方案出</w:t>
      </w:r>
      <w:r>
        <w:rPr>
          <w:color w:val="565862"/>
        </w:rPr>
        <w:t>现较大偏差、新能源消纳不及预期等情况；组织梳理本地绿电直连项目</w:t>
      </w:r>
      <w:r>
        <w:rPr>
          <w:color w:val="565862"/>
          <w:spacing w:val="-1"/>
        </w:rPr>
        <w:t>需求，积极向民营企业推介，支持民资等参与投</w:t>
      </w:r>
      <w:r>
        <w:rPr>
          <w:color w:val="565862"/>
        </w:rPr>
        <w:t>资建设；做好项目管理和运行监测工作，组织具备资质的第三方机构开</w:t>
      </w:r>
      <w:r>
        <w:rPr>
          <w:color w:val="565862"/>
          <w:spacing w:val="-1"/>
        </w:rPr>
        <w:t>展方案评审，充分听取电网企业、国家能源局派</w:t>
      </w:r>
      <w:r>
        <w:rPr>
          <w:color w:val="565862"/>
        </w:rPr>
        <w:t>出机构等意见，推动绿电直连模式有序发展。电网企业、电力市场运营</w:t>
      </w:r>
      <w:r>
        <w:rPr>
          <w:color w:val="565862"/>
          <w:spacing w:val="-1"/>
        </w:rPr>
        <w:t>机构按照通知要求做好落实，持续提升对项目接</w:t>
      </w:r>
      <w:r>
        <w:rPr>
          <w:color w:val="565862"/>
          <w:spacing w:val="-1"/>
        </w:rPr>
        <w:t>入电网、参与电力市场交易的技术支持能力和服务水平。</w:t>
      </w:r>
    </w:p>
    <w:p>
      <w:pPr>
        <w:pStyle w:val="BodyText"/>
        <w:ind w:left="3628"/>
        <w:spacing w:before="237" w:line="220" w:lineRule="auto"/>
        <w:rPr/>
      </w:pPr>
      <w:r>
        <w:rPr>
          <w:color w:val="565862"/>
          <w:spacing w:val="-4"/>
        </w:rPr>
        <w:t>国家发展改革委</w:t>
      </w:r>
    </w:p>
    <w:p>
      <w:pPr>
        <w:pStyle w:val="BodyText"/>
        <w:ind w:left="3628"/>
        <w:spacing w:before="121" w:line="221" w:lineRule="auto"/>
        <w:rPr/>
      </w:pPr>
      <w:r>
        <w:rPr>
          <w:color w:val="565862"/>
          <w:spacing w:val="-9"/>
        </w:rPr>
        <w:t>国</w:t>
      </w:r>
      <w:r>
        <w:rPr>
          <w:color w:val="565862"/>
          <w:spacing w:val="6"/>
        </w:rPr>
        <w:t xml:space="preserve"> </w:t>
      </w:r>
      <w:r>
        <w:rPr>
          <w:color w:val="565862"/>
          <w:spacing w:val="-9"/>
        </w:rPr>
        <w:t>家</w:t>
      </w:r>
      <w:r>
        <w:rPr>
          <w:color w:val="565862"/>
          <w:spacing w:val="12"/>
        </w:rPr>
        <w:t xml:space="preserve"> </w:t>
      </w:r>
      <w:r>
        <w:rPr>
          <w:color w:val="565862"/>
          <w:spacing w:val="-9"/>
        </w:rPr>
        <w:t>能</w:t>
      </w:r>
      <w:r>
        <w:rPr>
          <w:color w:val="565862"/>
          <w:spacing w:val="4"/>
        </w:rPr>
        <w:t xml:space="preserve"> </w:t>
      </w:r>
      <w:r>
        <w:rPr>
          <w:color w:val="565862"/>
          <w:spacing w:val="-9"/>
        </w:rPr>
        <w:t>源</w:t>
      </w:r>
      <w:r>
        <w:rPr>
          <w:color w:val="565862"/>
          <w:spacing w:val="8"/>
        </w:rPr>
        <w:t xml:space="preserve"> </w:t>
      </w:r>
      <w:r>
        <w:rPr>
          <w:color w:val="565862"/>
          <w:spacing w:val="-9"/>
        </w:rPr>
        <w:t>局</w:t>
      </w:r>
    </w:p>
    <w:p>
      <w:pPr>
        <w:pStyle w:val="BodyText"/>
        <w:ind w:left="3555"/>
        <w:spacing w:before="121" w:line="220" w:lineRule="auto"/>
        <w:rPr/>
      </w:pPr>
      <w:r>
        <w:rPr>
          <w:color w:val="565862"/>
          <w:spacing w:val="-5"/>
        </w:rPr>
        <w:t>2025</w:t>
      </w:r>
      <w:r>
        <w:rPr>
          <w:color w:val="565862"/>
          <w:spacing w:val="-27"/>
        </w:rPr>
        <w:t xml:space="preserve"> </w:t>
      </w:r>
      <w:r>
        <w:rPr>
          <w:color w:val="565862"/>
          <w:spacing w:val="-5"/>
        </w:rPr>
        <w:t>年</w:t>
      </w:r>
      <w:r>
        <w:rPr>
          <w:color w:val="565862"/>
          <w:spacing w:val="-32"/>
        </w:rPr>
        <w:t xml:space="preserve"> </w:t>
      </w:r>
      <w:r>
        <w:rPr>
          <w:color w:val="565862"/>
          <w:spacing w:val="-5"/>
        </w:rPr>
        <w:t>5</w:t>
      </w:r>
      <w:r>
        <w:rPr>
          <w:color w:val="565862"/>
          <w:spacing w:val="-31"/>
        </w:rPr>
        <w:t xml:space="preserve"> </w:t>
      </w:r>
      <w:r>
        <w:rPr>
          <w:color w:val="565862"/>
          <w:spacing w:val="-5"/>
        </w:rPr>
        <w:t>月</w:t>
      </w:r>
      <w:r>
        <w:rPr>
          <w:color w:val="565862"/>
          <w:spacing w:val="-31"/>
        </w:rPr>
        <w:t xml:space="preserve"> </w:t>
      </w:r>
      <w:r>
        <w:rPr>
          <w:color w:val="565862"/>
          <w:spacing w:val="-5"/>
        </w:rPr>
        <w:t>21 日</w:t>
      </w:r>
    </w:p>
    <w:sectPr>
      <w:pgSz w:w="11906" w:h="16839"/>
      <w:pgMar w:top="1431" w:right="1744" w:bottom="0" w:left="1785"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s>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16"/>
      <w:szCs w:val="16"/>
      <w:lang w:val="en-US" w:eastAsia="en-US" w:bidi="ar-SA"/>
    </w:rPr>
  </w:style>
</w:styles>
</file>

<file path=word/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settings" Target="settings.xml"/></Relationships>
</file>

<file path=docProps/app.xml><?xml version="1.0" encoding="utf-8"?>
<ap:Properties xmlns:vt="http://schemas.openxmlformats.org/officeDocument/2006/docPropsVTypes" xmlns:ap="http://schemas.openxmlformats.org/officeDocument/2006/extended-properties">
  <ap:Application>WPS 文字</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2026-04-28T22:26:40Z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2026-04-30T12:57:31</vt:filetime>
  </property>
</Properties>
</file>