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400"/>
        <w:jc w:val="center"/>
      </w:pPr>
      <w:r>
        <w:rPr>
          <w:rFonts w:ascii="Arial" w:eastAsia="Microsoft YaHei"/>
          <w:b/>
          <w:bCs/>
          <w:sz w:val="52"/>
          <w:szCs w:val="52"/>
        </w:rPr>
        <w:t xml:space="preserve">新型电力主体深度解析与商业机会</w:t>
      </w:r>
    </w:p>
    <w:p>
      <w:pPr>
        <w:spacing w:after="200"/>
        <w:jc w:val="center"/>
      </w:pPr>
      <w:r>
        <w:rPr>
          <w:rFonts w:ascii="Arial" w:eastAsia="Microsoft YaHei"/>
          <w:color w:val="5D6D7E"/>
          <w:sz w:val="28"/>
          <w:szCs w:val="28"/>
        </w:rPr>
        <w:t xml:space="preserve">从政策笔记到商业落地的系统思考</w:t>
      </w:r>
    </w:p>
    <w:p>
      <w:pPr>
        <w:spacing w:before="1200"/>
      </w:pPr>
    </w:p>
    <w:p>
      <w:pPr>
        <w:jc w:val="center"/>
      </w:pPr>
      <w:r>
        <w:rPr>
          <w:rFonts w:ascii="Arial" w:eastAsia="Microsoft YaHei"/>
          <w:color w:val="95A5A6"/>
          <w:sz w:val="20"/>
          <w:szCs w:val="20"/>
        </w:rPr>
        <w:t xml:space="preserve">基于学习笔记深度整理</w:t>
      </w:r>
    </w:p>
    <w:p>
      <w:pPr>
        <w:jc w:val="center"/>
      </w:pPr>
      <w:r>
        <w:rPr>
          <w:rFonts w:ascii="Arial" w:eastAsia="Microsoft YaHei"/>
          <w:color w:val="95A5A6"/>
          <w:sz w:val="20"/>
          <w:szCs w:val="20"/>
        </w:rPr>
        <w:t xml:space="preserve">2025年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一、核心概念重构：什么是新型电力主体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1.1 本质定义</w:t>
      </w:r>
    </w:p>
    <w:p>
      <w:pPr>
        <w:spacing w:after="120"/>
      </w:pPr>
      <w:r>
        <w:rPr>
          <w:rFonts w:ascii="Arial" w:eastAsia="Microsoft YaHei"/>
          <w:b/>
          <w:bCs/>
          <w:sz w:val="22"/>
          <w:szCs w:val="22"/>
        </w:rPr>
        <w:t xml:space="preserve">新型电力主体 = 传统电网之外的电力微生态运营者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新型电力主体与传统电网在角色定位、核心资产、盈利模式等方面存在本质差异。新型主体不再是单纯的电力输送者，而是电力生态的运营者，其核心资产是分布式资源聚合能力，盈利模式包括服务费、交易价差和增值收益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1.2 政策背后的逻辑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能源转型压力下，新能源大规模接入导致电网调峰压力剧增，需要分散的蓄水池来平衡波动。负荷聚合商、虚拟电厂、分布式新能源、绿电直连等新型主体应运而生。核心矛盾是新能源的波动性与电网的稳定性需求，解决方案是把分散的负荷和电源变成可调度资源。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二、四类主体深度解析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2.1 负荷聚合商 —— 电力需求的管理者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核心价值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不是卖电，而是管理用电行为。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商业模式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收入来源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客户价值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需量管理费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帮客户优化最大需量，降低基本电费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电费账单下降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需求响应收益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聚合负荷参与电网调峰，获取补贴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闲置负荷变现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绿电采购服务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代理采购绿色电力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满足ESG要求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能效优化咨询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提供节电方案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长期降本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关键成功要素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1. 客户资源：掌握足够多的可控负荷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2. 技术能力：精准的负荷预测和调度算法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3. 电网关系：获得需求响应资质和调度指令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4. 资金实力：垫付电费、承担偏差风险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2.2 虚拟电厂 —— 看不见的发电厂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本质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把分散的分布式电源、储能、可控负荷虚拟成一个整体，参与电力市场。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与负荷聚合商的区别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负荷聚合商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虚拟电厂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核心资源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可控负荷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分布式电源+储能+负荷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市场角色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需求侧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供给侧+需求侧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盈利方式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需量管理+需求响应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电力交易+辅助服务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技术复杂度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中等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高（源网荷储协同）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关键数据指标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聚合资源规模：至少10MW以上才有经济性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响应速度：秒级（调频）到小时级（需求响应）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预测准确率：&gt;90%（影响市场收益）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2.3 分布式新能源 —— 就近发、就近用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政策意图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解决新能源远送贵、近用难的问题。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三类应用场景对比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核心诉求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关键约束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商业模式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工厂/园区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降电费+绿电branding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物理界面清晰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自发自用+余电上网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村网受限项目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解决接入瓶颈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电网承载力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集中汇流+全额上网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户用光伏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额外收入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屋顶资源分散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租赁模式+收益分成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增量配电网的特殊价值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传统模式：发电→升压→高压传输→降压→用电（多级损耗）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增量配网模式：发电→低压直供→用电（就近消纳，损耗低）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价值点：减少输配电损耗约5-8%、降低过网费、提高供电可靠性、获得配电网运营权收益。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2.4 绿电直连 —— 高门槛的绿电特权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政策设计意图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筛选真正的绿电刚需用户，防止投机。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约束条件的深层含义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政策意图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自发自用/总发电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≥60%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防止变成披着绿电外衣的售电公司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自发自用/总用电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≥30%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确保用户真的有绿电需求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30年后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≥35%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防止短期套利后退出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上网限制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≤20%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优先本地消纳，减轻电网压力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谁适合做绿电直连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理想客户画像：用电量大且稳定（年用电&gt;1000万度）、有明确的绿电需求（出口型企业、ESG要求高的外企）、有可用土地/屋顶建设新能源、愿意承担一定的电源投资。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典型场景：数据中心（用电大、有绿电指标要求）、出口型制造业（应对碳关税）、高耗能企业（满足能耗双控）。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三、四类主体的协同关系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3.1 关系图谱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电网公司（调度/结算）位于顶层，负荷聚合商（管需求）、虚拟电厂（管资源）、增量配电网（管网络）位于中间层，分布式新能源和绿电直连（电源基础）位于底层。四类主体形成上下协同的生态系统。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3.2 协同场景示例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某工业园区综合能源服务场景：园区屋顶光伏（分布式新能源）→增量配电网（园区专属配网）→直供园区企业（绿电直连模式）满足高比例自发自用要求；余电通过虚拟电厂聚合参与电力市场交易；负荷聚合商统一调度实现需求响应、需量管理。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四、商业机会识别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4.1 产业链机会地图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机会类型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关键能力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代表企业方向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资源开发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项目开发权获取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政府关系、土地资源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地方能源国企、民营开发商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技术平台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聚合调度系统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算法、软件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互联网能源科技公司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工程建设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EPC总承包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工程能力、成本控制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传统电力工程公司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运营服务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长期运维托管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运维经验、客户粘性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专业运维公司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金融服务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项目融资、保险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资金、风控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绿色金融、产业基金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交易服务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电力交易代理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市场经验、算法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售电公司升级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4.2 区域市场机会评估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区域类型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机会重点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关键成功因素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新能源富集区（西北、华北）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分布式光伏+储能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电网接入、消纳保障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负荷中心（华东、华南）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负荷聚合、虚拟电厂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客户资源、技术能力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工业园区密集区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增量配网、绿电直连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园区关系、资金实力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农村/县域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户用光伏、村网改造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渠道下沉、金融支持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4.3 差异化竞争策略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策略一：垂直深耕——选择一个细分领域（如数据中心绿电直连），建立行业know-how和客户壁垒。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策略二：区域垄断——在一个区域（如一个地级市）建立密集网络，通过规模效应降低成本。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策略三：技术平台化——开发通用的聚合调度平台，向多个主体输出技术服务。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策略四：金融驱动——以投资能力切入，持有优质资产，长期获取稳定现金流。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五、关键决策框架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5.1 进入哪个赛道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决策逻辑：根据核心资源选择赛道。拥有客户资源（大量可控负荷）→负荷聚合商/虚拟电厂；拥有土地资源（屋顶、空地）→分布式新能源开发；拥有资金实力（可投重资产）→增量配网/绿电直连；拥有技术能力（算法、平台）→虚拟电厂平台/聚合软件；拥有政府关系（园区、县域）→区域综合能源服务商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5.2 项目可行性评估清单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评估维度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关键问题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政策合规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是否符合当地新型主体政策？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获得政府/电网认可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资源匹配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电源和负荷是否匹配？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自用比例达标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电网接入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能否获得接入许可？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有明确的接入方案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经济模型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内部收益率是否达标？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IRR&gt;8%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客户锁定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是否有长期合同保障？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签署5年以上协议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运营能力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是否有专业团队？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核心人员到位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5.3 风险管控要点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风险类型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具体风险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政策风险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补贴政策变化、调度规则调整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多元化收入、政策跟踪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市场风险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电价波动、绿证价格下跌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长期合同锁定、套期保值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技术风险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预测偏差、系统故障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冗余设计、保险覆盖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信用风险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客户违约、电费拖欠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预付费机制、信用评估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竞争风险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新进入者、价格战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差异化服务、客户粘性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六、行动建议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6.1 短期行动（1-3个月）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行动项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梳理自身资源禀赋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明确可进入的赛道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研究目标区域政策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掌握准入条件和流程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对接电网公司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了解接入和调度要求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寻找种子客户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验证商业模式可行性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6.2 中期布局（3-12个月）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行动项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获取首个项目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跑通全流程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搭建核心团队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技术+商务+运营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建设技术平台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具备规模化能力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建立融资渠道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支撑项目扩张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6.3 长期战略（1-3年）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行动项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区域规模化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成为区域头部玩家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商业模式升级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从单一服务到生态运营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跨区域复制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扩大市场份额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资本运作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并购整合或上市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七、延伸阅读与思考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7.1 关键问题清单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1. 政策层面：新型电力主体政策在各省的具体差异是什么？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2. 技术层面：虚拟电厂的调度算法如何优化？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3. 市场层面：电力现货市场对新型主体的影响？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4. 金融层面：绿色金融如何支持新型主体发展？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5. 国际层面：欧美虚拟电厂模式有哪些可借鉴之处？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7.2 需要持续跟踪的指标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意义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各省新型主体备案数量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能源局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市场竞争程度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电力现货价格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交易中心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收益水平变化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绿证价格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绿证交易平台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绿电附加收益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储能成本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行业报告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配套投资门槛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碳市场价格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碳交易所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碳资产价值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附录：原始笔记对照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原始笔记要点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18"/>
                <w:szCs w:val="18"/>
              </w:rPr>
              <w:t xml:space="preserve">本文对应章节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新型主体定义（微电网/户用/园区）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第一章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负荷聚合商（需量控制、结算、内部消纳）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2.1节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分布式新能源（多级用户接入、应用场景）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2.3节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绿电直连（60%/30%/35%约束、20%上网限制）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2.4节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绿电溯源（小时级、绿证）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sz w:val="18"/>
                <w:szCs w:val="18"/>
              </w:rPr>
              <w:t xml:space="preserve">2.4.7节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eastAsia="Microsoft YaHei"/>
          <w:color w:val="95A5A6"/>
          <w:sz w:val="18"/>
          <w:szCs w:val="18"/>
        </w:rPr>
        <w:t xml:space="preserve">本文基于学习笔记深度整理</w:t>
      </w:r>
    </w:p>
    <w:p>
      <w:pPr>
        <w:jc w:val="center"/>
      </w:pPr>
      <w:r>
        <w:rPr>
          <w:rFonts w:ascii="Arial" w:eastAsia="Microsoft YaHei"/>
          <w:color w:val="95A5A6"/>
          <w:sz w:val="18"/>
          <w:szCs w:val="18"/>
        </w:rPr>
        <w:t xml:space="preserve">用途：商业决策参考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5A5A6"/>
        <w:sz w:val="16"/>
        <w:szCs w:val="16"/>
      </w:rPr>
      <w:t xml:space="preserve">第 </w:t>
    </w:r>
    <w:r>
      <w:rPr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5A5A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95A5A6"/>
        <w:sz w:val="16"/>
        <w:szCs w:val="16"/>
      </w:rPr>
      <w:t xml:space="preserve">新型电力主体深度解析与商业机会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2026-05-26T14:37:01.724Z</dcterms:created>
  <dcterms:modified xsi:type="dcterms:W3CDTF">2026-05-26T14:37:01.726Z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