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智慧記錄：电力交易持仓策略规划 2026年6月1日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錄音主題：电力交易持仓策略规划</w:t>
            </w:r>
          </w:p>
          <w:p>
            <w:pPr>
              <w:spacing w:before="120" w:after="120" w:line="288" w:lineRule="auto"/>
              <w:ind w:left="0"/>
              <w:jc w:val="left"/>
            </w:pPr>
            <w:r>
              <w:rPr>
                <w:rFonts w:eastAsia="等线" w:ascii="Arial" w:cs="Arial" w:hAnsi="Arial"/>
                <w:color w:val="646a73"/>
                <w:sz w:val="22"/>
              </w:rPr>
              <w:t>錄音時間：Jun 1, 2026 (Mon) 10:30 - 11:48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智慧記錄由 AI 產生，可能不準確，請謹慎甄別後使用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總結</w:t>
      </w:r>
      <w:bookmarkEnd w:id="0"/>
    </w:p>
    <w:p>
      <w:pPr>
        <w:spacing w:before="120" w:after="120" w:line="288" w:lineRule="auto"/>
        <w:ind w:left="0"/>
        <w:jc w:val="center"/>
      </w:pPr>
      <w:r>
        <w:drawing>
          <wp:inline distT="0" distR="0" distB="0" distL="0">
            <wp:extent cx="5257800" cy="3457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音频围绕电力交易的交易策略、持仓决策和产品购买等方面展开讨论，明确了各交易产品的特点和交易规则，以及根据现货价格和供需关系确定持仓比例的方法，并提出根据交易数据进行复盘调整策略的要求，内容如下：</w:t>
      </w:r>
    </w:p>
    <w:p>
      <w:pPr>
        <w:numPr>
          <w:numId w:val="1"/>
        </w:numPr>
        <w:spacing w:before="120" w:after="120" w:line="288" w:lineRule="auto"/>
        <w:ind w:left="0"/>
        <w:jc w:val="left"/>
      </w:pPr>
      <w:r>
        <w:rPr>
          <w:rFonts w:eastAsia="等线" w:ascii="Arial" w:cs="Arial" w:hAnsi="Arial"/>
          <w:b w:val="true"/>
          <w:sz w:val="22"/>
        </w:rPr>
        <w:t>交易产品特点及策略</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133"/>
        <w:gridCol w:w="3146"/>
      </w:tblGrid>
      <w:tr>
        <w:tc>
          <w:tcPr>
            <w:tcW w:w="5133"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年度交易产品</w:t>
            </w:r>
          </w:p>
          <w:p>
            <w:pPr>
              <w:numPr>
                <w:numId w:val="3"/>
              </w:numPr>
              <w:spacing w:before="120" w:after="120" w:line="288" w:lineRule="auto"/>
              <w:ind w:left="453"/>
              <w:jc w:val="left"/>
            </w:pPr>
            <w:r>
              <w:rPr>
                <w:rFonts w:eastAsia="等线" w:ascii="Arial" w:cs="Arial" w:hAnsi="Arial"/>
                <w:sz w:val="22"/>
              </w:rPr>
              <w:t>年度双边：是可调的曲线，按月可调，一定成交，只能买不能卖。电厂常希望按直线交易，但应寻找可配合调整曲线且价格最低的电厂合作，使仓位与实际情况吻合。</w:t>
            </w:r>
          </w:p>
          <w:p>
            <w:pPr>
              <w:numPr>
                <w:numId w:val="4"/>
              </w:numPr>
              <w:spacing w:before="120" w:after="120" w:line="288" w:lineRule="auto"/>
              <w:ind w:left="453"/>
              <w:jc w:val="left"/>
            </w:pPr>
            <w:r>
              <w:rPr>
                <w:rFonts w:eastAsia="等线" w:ascii="Arial" w:cs="Arial" w:hAnsi="Arial"/>
                <w:sz w:val="22"/>
              </w:rPr>
              <w:t>年度挂牌：是一条直线，按月按时段均分，不一定成交，用于补充年度双边不足的量，不同电厂价格不同。</w:t>
            </w:r>
          </w:p>
        </w:tc>
        <w:tc>
          <w:tcPr>
            <w:tcW w:w="3146" w:type="dxa"/>
            <w:tcMar>
              <w:top w:type="dxa" w:w="60"/>
              <w:left w:type="dxa" w:w="120"/>
              <w:bottom w:type="dxa" w:w="30"/>
              <w:right w:type="dxa" w:w="120"/>
            </w:tcMar>
          </w:tcPr>
          <w:p>
            <w:pPr>
              <w:spacing w:before="120" w:after="120" w:line="288" w:lineRule="auto"/>
              <w:ind w:left="0"/>
              <w:jc w:val="center"/>
            </w:pPr>
            <w:r>
              <w:drawing>
                <wp:inline distT="0" distR="0" distB="0" distL="0">
                  <wp:extent cx="1838325" cy="914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838325" cy="9144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电力交易产品核心特性对比</w:t>
              <w:br/>
            </w:r>
          </w:p>
        </w:tc>
      </w:tr>
    </w:tbl>
    <w:p>
      <w:pPr>
        <w:numPr>
          <w:numId w:val="5"/>
        </w:numPr>
        <w:spacing w:before="120" w:after="120" w:line="288" w:lineRule="auto"/>
        <w:ind w:left="453"/>
        <w:jc w:val="left"/>
      </w:pPr>
      <w:r>
        <w:rPr>
          <w:rFonts w:eastAsia="等线" w:ascii="Arial" w:cs="Arial" w:hAnsi="Arial"/>
          <w:b w:val="true"/>
          <w:sz w:val="22"/>
        </w:rPr>
        <w:t>月度交易产品</w:t>
      </w:r>
    </w:p>
    <w:p>
      <w:pPr>
        <w:numPr>
          <w:numId w:val="6"/>
        </w:numPr>
        <w:spacing w:before="120" w:after="120" w:line="288" w:lineRule="auto"/>
        <w:ind w:left="907"/>
        <w:jc w:val="left"/>
      </w:pPr>
      <w:r>
        <w:rPr>
          <w:rFonts w:eastAsia="等线" w:ascii="Arial" w:cs="Arial" w:hAnsi="Arial"/>
          <w:sz w:val="22"/>
        </w:rPr>
        <w:t>月度挂牌：按照 24 个时段均分，也是一条直线，不一定成交，可在月度竞挂牌和月度竞价时卖给同行（售电公司），即合同量交易。</w:t>
      </w:r>
    </w:p>
    <w:p>
      <w:pPr>
        <w:numPr>
          <w:numId w:val="7"/>
        </w:numPr>
        <w:spacing w:before="120" w:after="120" w:line="288" w:lineRule="auto"/>
        <w:ind w:left="907"/>
        <w:jc w:val="left"/>
      </w:pPr>
      <w:r>
        <w:rPr>
          <w:rFonts w:eastAsia="等线" w:ascii="Arial" w:cs="Arial" w:hAnsi="Arial"/>
          <w:sz w:val="22"/>
        </w:rPr>
        <w:t>月度竞价：按照 24 个时段，自己购买，不一定成交，曲线可调整，可根据 24 个时段用电量区别购买。</w:t>
      </w:r>
    </w:p>
    <w:p>
      <w:pPr>
        <w:numPr>
          <w:numId w:val="8"/>
        </w:numPr>
        <w:spacing w:before="120" w:after="120" w:line="288" w:lineRule="auto"/>
        <w:ind w:left="453"/>
        <w:jc w:val="left"/>
      </w:pPr>
      <w:r>
        <w:rPr>
          <w:rFonts w:eastAsia="等线" w:ascii="Arial" w:cs="Arial" w:hAnsi="Arial"/>
          <w:b w:val="true"/>
          <w:sz w:val="22"/>
        </w:rPr>
        <w:t>日滚搓</w:t>
      </w:r>
      <w:r>
        <w:rPr>
          <w:rFonts w:eastAsia="等线" w:ascii="Arial" w:cs="Arial" w:hAnsi="Arial"/>
          <w:sz w:val="22"/>
        </w:rPr>
        <w:t>：按 24 个时段，曲线可调，可买可卖，价格与现货价格捆绑，根据当天时刻的供需情况定价。</w:t>
      </w:r>
    </w:p>
    <w:p>
      <w:pPr>
        <w:numPr>
          <w:numId w:val="9"/>
        </w:numPr>
        <w:spacing w:before="120" w:after="120" w:line="288" w:lineRule="auto"/>
        <w:ind w:left="0"/>
        <w:jc w:val="left"/>
      </w:pPr>
      <w:r>
        <w:rPr>
          <w:rFonts w:eastAsia="等线" w:ascii="Arial" w:cs="Arial" w:hAnsi="Arial"/>
          <w:b w:val="true"/>
          <w:sz w:val="22"/>
        </w:rPr>
        <w:t>持仓决策逻辑</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719"/>
        <w:gridCol w:w="3560"/>
      </w:tblGrid>
      <w:tr>
        <w:tc>
          <w:tcPr>
            <w:tcW w:w="4719"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b w:val="true"/>
                <w:sz w:val="22"/>
              </w:rPr>
              <w:t>现货价格与持仓位关系</w:t>
            </w:r>
            <w:r>
              <w:rPr>
                <w:rFonts w:eastAsia="等线" w:ascii="Arial" w:cs="Arial" w:hAnsi="Arial"/>
                <w:sz w:val="22"/>
              </w:rPr>
              <w:t>：现货价格高低决定持仓位，中长期持仓比例应控制在 80% - 120%，否则会引起偏差考核。</w:t>
            </w:r>
          </w:p>
          <w:p>
            <w:pPr>
              <w:numPr>
                <w:numId w:val="11"/>
              </w:numPr>
              <w:spacing w:before="120" w:after="120" w:line="288" w:lineRule="auto"/>
              <w:ind w:left="0"/>
              <w:jc w:val="left"/>
            </w:pPr>
            <w:r>
              <w:rPr>
                <w:rFonts w:eastAsia="等线" w:ascii="Arial" w:cs="Arial" w:hAnsi="Arial"/>
                <w:b w:val="true"/>
                <w:sz w:val="22"/>
              </w:rPr>
              <w:t>不同现货价格下的持仓策略</w:t>
            </w:r>
          </w:p>
          <w:p>
            <w:pPr>
              <w:numPr>
                <w:numId w:val="12"/>
              </w:numPr>
              <w:spacing w:before="120" w:after="120" w:line="288" w:lineRule="auto"/>
              <w:ind w:left="453"/>
              <w:jc w:val="left"/>
            </w:pPr>
            <w:r>
              <w:rPr>
                <w:rFonts w:eastAsia="等线" w:ascii="Arial" w:cs="Arial" w:hAnsi="Arial"/>
                <w:sz w:val="22"/>
              </w:rPr>
              <w:t>现货价格低：日滚价格大概率低，低位持仓利益最大化。假设明年年度供需关系宽松，现货价格处于低位，总持仓比尽量控制在 80%，其中中长期持仓 80%，20%用现货套利。</w:t>
            </w:r>
          </w:p>
          <w:p>
            <w:pPr>
              <w:numPr>
                <w:numId w:val="13"/>
              </w:numPr>
              <w:spacing w:before="120" w:after="120" w:line="288" w:lineRule="auto"/>
              <w:ind w:left="453"/>
              <w:jc w:val="left"/>
            </w:pPr>
            <w:r>
              <w:rPr>
                <w:rFonts w:eastAsia="等线" w:ascii="Arial" w:cs="Arial" w:hAnsi="Arial"/>
                <w:sz w:val="22"/>
              </w:rPr>
              <w:t>现货价格高：日滚价格大概率高，高位持仓较稳，可减少现货价格波动对整体盘口的影响。假设判断明年年度供需关系紧张，推导出现货价格处于高位，中长期持仓比应控制在 120%。</w:t>
            </w:r>
          </w:p>
        </w:tc>
        <w:tc>
          <w:tcPr>
            <w:tcW w:w="3560" w:type="dxa"/>
            <w:tcMar>
              <w:top w:type="dxa" w:w="60"/>
              <w:left w:type="dxa" w:w="120"/>
              <w:bottom w:type="dxa" w:w="30"/>
              <w:right w:type="dxa" w:w="120"/>
            </w:tcMar>
          </w:tcPr>
          <w:p>
            <w:pPr>
              <w:spacing w:before="120" w:after="120" w:line="288" w:lineRule="auto"/>
              <w:ind w:left="0"/>
              <w:jc w:val="center"/>
            </w:pPr>
            <w:r>
              <w:drawing>
                <wp:inline distT="0" distR="0" distB="0" distL="0">
                  <wp:extent cx="2105025" cy="17907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105025" cy="17907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电力交易持仓决策逻辑</w:t>
              <w:br/>
            </w:r>
          </w:p>
        </w:tc>
      </w:tr>
    </w:tbl>
    <w:p>
      <w:pPr>
        <w:numPr>
          <w:numId w:val="14"/>
        </w:numPr>
        <w:spacing w:before="120" w:after="120" w:line="288" w:lineRule="auto"/>
        <w:ind w:left="453"/>
        <w:jc w:val="left"/>
      </w:pPr>
      <w:r>
        <w:rPr>
          <w:rFonts w:eastAsia="等线" w:ascii="Arial" w:cs="Arial" w:hAnsi="Arial"/>
          <w:b w:val="true"/>
          <w:sz w:val="22"/>
        </w:rPr>
        <w:t>供需关系判断依据</w:t>
      </w:r>
      <w:r>
        <w:rPr>
          <w:rFonts w:eastAsia="等线" w:ascii="Arial" w:cs="Arial" w:hAnsi="Arial"/>
          <w:sz w:val="22"/>
        </w:rPr>
        <w:t>：判断现货价格高低需依据边际机组出清价格，不同大小机组出清价格不同，代表不同供需关系（宽松、适中、紧张）。判断年度供需关系可通过看竞价空间，即火电、风光、水发电总量加上省间联络线，减去负荷预测的值，该值大小决定火电裕度和供需关系。</w:t>
      </w:r>
    </w:p>
    <w:p>
      <w:pPr>
        <w:numPr>
          <w:numId w:val="15"/>
        </w:numPr>
        <w:spacing w:before="120" w:after="120" w:line="288" w:lineRule="auto"/>
        <w:ind w:left="0"/>
        <w:jc w:val="left"/>
      </w:pPr>
      <w:r>
        <w:rPr>
          <w:rFonts w:eastAsia="等线" w:ascii="Arial" w:cs="Arial" w:hAnsi="Arial"/>
          <w:b w:val="true"/>
          <w:sz w:val="22"/>
        </w:rPr>
        <w:t>各产品购买策略</w:t>
      </w:r>
    </w:p>
    <w:p>
      <w:pPr>
        <w:numPr>
          <w:numId w:val="16"/>
        </w:numPr>
        <w:spacing w:before="120" w:after="120" w:line="288" w:lineRule="auto"/>
        <w:ind w:left="453"/>
        <w:jc w:val="left"/>
      </w:pPr>
      <w:r>
        <w:rPr>
          <w:rFonts w:eastAsia="等线" w:ascii="Arial" w:cs="Arial" w:hAnsi="Arial"/>
          <w:b w:val="true"/>
          <w:sz w:val="22"/>
        </w:rPr>
        <w:t>年度双边</w:t>
      </w:r>
    </w:p>
    <w:p>
      <w:pPr>
        <w:numPr>
          <w:numId w:val="17"/>
        </w:numPr>
        <w:spacing w:before="120" w:after="120" w:line="288" w:lineRule="auto"/>
        <w:ind w:left="907"/>
        <w:jc w:val="left"/>
      </w:pPr>
      <w:r>
        <w:rPr>
          <w:rFonts w:eastAsia="等线" w:ascii="Arial" w:cs="Arial" w:hAnsi="Arial"/>
          <w:sz w:val="22"/>
        </w:rPr>
        <w:t>曲线可调：尽量买到 64%，因年度双边价格大概率高于年度挂牌，低于月度挂牌和月度竞价。</w:t>
      </w:r>
    </w:p>
    <w:p>
      <w:pPr>
        <w:numPr>
          <w:numId w:val="18"/>
        </w:numPr>
        <w:spacing w:before="120" w:after="120" w:line="288" w:lineRule="auto"/>
        <w:ind w:left="907"/>
        <w:jc w:val="left"/>
      </w:pPr>
      <w:r>
        <w:rPr>
          <w:rFonts w:eastAsia="等线" w:ascii="Arial" w:cs="Arial" w:hAnsi="Arial"/>
          <w:sz w:val="22"/>
        </w:rPr>
        <w:t>曲线不可调：以最低用电量月份为参考，假设最低月份用电量占全年 4%，则买到 4% × 0.8 × 12 = 38.4%，按 40%算。</w:t>
      </w:r>
    </w:p>
    <w:p>
      <w:pPr>
        <w:numPr>
          <w:numId w:val="19"/>
        </w:numPr>
        <w:spacing w:before="120" w:after="120" w:line="288" w:lineRule="auto"/>
        <w:ind w:left="453"/>
        <w:jc w:val="left"/>
      </w:pPr>
      <w:r>
        <w:rPr>
          <w:rFonts w:eastAsia="等线" w:ascii="Arial" w:cs="Arial" w:hAnsi="Arial"/>
          <w:b w:val="true"/>
          <w:sz w:val="22"/>
        </w:rPr>
        <w:t>年度挂牌</w:t>
      </w:r>
      <w:r>
        <w:rPr>
          <w:rFonts w:eastAsia="等线" w:ascii="Arial" w:cs="Arial" w:hAnsi="Arial"/>
          <w:sz w:val="22"/>
        </w:rPr>
        <w:t>：买与不买取决于年度双边买到的量是否达到预期，若未达到预期，一定要买到挂牌量；若达到预期，需看月挂牌的量和价格，但难以提前判断。</w:t>
      </w:r>
    </w:p>
    <w:p>
      <w:pPr>
        <w:numPr>
          <w:numId w:val="20"/>
        </w:numPr>
        <w:spacing w:before="120" w:after="120" w:line="288" w:lineRule="auto"/>
        <w:ind w:left="453"/>
        <w:jc w:val="left"/>
      </w:pPr>
      <w:r>
        <w:rPr>
          <w:rFonts w:eastAsia="等线" w:ascii="Arial" w:cs="Arial" w:hAnsi="Arial"/>
          <w:b w:val="true"/>
          <w:sz w:val="22"/>
        </w:rPr>
        <w:t>月度挂牌</w:t>
      </w:r>
      <w:r>
        <w:rPr>
          <w:rFonts w:eastAsia="等线" w:ascii="Arial" w:cs="Arial" w:hAnsi="Arial"/>
          <w:sz w:val="22"/>
        </w:rPr>
        <w:t>：根据月度供需关系决定是否购买，当月度市场供需关系宽松时可不买，因日滚搓可能更便宜；当月度市场供需关系紧张时必须买，至少买到月最低持仓量的 100%。</w:t>
      </w:r>
    </w:p>
    <w:p>
      <w:pPr>
        <w:numPr>
          <w:numId w:val="21"/>
        </w:numPr>
        <w:spacing w:before="120" w:after="120" w:line="288" w:lineRule="auto"/>
        <w:ind w:left="453"/>
        <w:jc w:val="left"/>
      </w:pPr>
      <w:r>
        <w:rPr>
          <w:rFonts w:eastAsia="等线" w:ascii="Arial" w:cs="Arial" w:hAnsi="Arial"/>
          <w:b w:val="true"/>
          <w:sz w:val="22"/>
        </w:rPr>
        <w:t>月度竞价</w:t>
      </w:r>
      <w:r>
        <w:rPr>
          <w:rFonts w:eastAsia="等线" w:ascii="Arial" w:cs="Arial" w:hAnsi="Arial"/>
          <w:sz w:val="22"/>
        </w:rPr>
        <w:t>：一定要买，根据 24 个时段用电量区别购买，尽量买到 80%，以补仓时段仓位，规避日滚风险。</w:t>
      </w:r>
    </w:p>
    <w:p>
      <w:pPr>
        <w:numPr>
          <w:numId w:val="22"/>
        </w:numPr>
        <w:spacing w:before="120" w:after="120" w:line="288" w:lineRule="auto"/>
        <w:ind w:left="453"/>
        <w:jc w:val="left"/>
      </w:pPr>
      <w:r>
        <w:rPr>
          <w:rFonts w:eastAsia="等线" w:ascii="Arial" w:cs="Arial" w:hAnsi="Arial"/>
          <w:b w:val="true"/>
          <w:sz w:val="22"/>
        </w:rPr>
        <w:t>日滚搓</w:t>
      </w:r>
      <w:r>
        <w:rPr>
          <w:rFonts w:eastAsia="等线" w:ascii="Arial" w:cs="Arial" w:hAnsi="Arial"/>
          <w:sz w:val="22"/>
        </w:rPr>
        <w:t>：根据现货价格与持仓价格的比较决定购买量，若现货价格高于持仓价格，尽量买到 100%；若现货价格低于持仓价格，买到 80%即可。</w:t>
      </w:r>
    </w:p>
    <w:p>
      <w:pPr>
        <w:numPr>
          <w:numId w:val="23"/>
        </w:numPr>
        <w:spacing w:before="120" w:after="120" w:line="288" w:lineRule="auto"/>
        <w:ind w:left="0"/>
        <w:jc w:val="left"/>
      </w:pPr>
      <w:r>
        <w:rPr>
          <w:rFonts w:eastAsia="等线" w:ascii="Arial" w:cs="Arial" w:hAnsi="Arial"/>
          <w:b w:val="true"/>
          <w:sz w:val="22"/>
        </w:rPr>
        <w:t>复盘与策略调整</w:t>
      </w:r>
    </w:p>
    <w:p>
      <w:pPr>
        <w:numPr>
          <w:numId w:val="24"/>
        </w:numPr>
        <w:spacing w:before="120" w:after="120" w:line="288" w:lineRule="auto"/>
        <w:ind w:left="453"/>
        <w:jc w:val="left"/>
      </w:pPr>
      <w:r>
        <w:rPr>
          <w:rFonts w:eastAsia="等线" w:ascii="Arial" w:cs="Arial" w:hAnsi="Arial"/>
          <w:b w:val="true"/>
          <w:sz w:val="22"/>
        </w:rPr>
        <w:t>复盘依据</w:t>
      </w:r>
      <w:r>
        <w:rPr>
          <w:rFonts w:eastAsia="等线" w:ascii="Arial" w:cs="Arial" w:hAnsi="Arial"/>
          <w:sz w:val="22"/>
        </w:rPr>
        <w:t>：根据日清分的实际交易数据和月度结算单进行每日、每月复盘。</w:t>
      </w:r>
    </w:p>
    <w:p>
      <w:pPr>
        <w:numPr>
          <w:numId w:val="25"/>
        </w:numPr>
        <w:spacing w:before="120" w:after="120" w:line="288" w:lineRule="auto"/>
        <w:ind w:left="453"/>
        <w:jc w:val="left"/>
      </w:pPr>
      <w:r>
        <w:rPr>
          <w:rFonts w:eastAsia="等线" w:ascii="Arial" w:cs="Arial" w:hAnsi="Arial"/>
          <w:b w:val="true"/>
          <w:sz w:val="22"/>
        </w:rPr>
        <w:t>调整策略</w:t>
      </w:r>
      <w:r>
        <w:rPr>
          <w:rFonts w:eastAsia="等线" w:ascii="Arial" w:cs="Arial" w:hAnsi="Arial"/>
          <w:sz w:val="22"/>
        </w:rPr>
        <w:t>：根据复盘结果调整明天和下个月的交易策略。</w:t>
      </w:r>
    </w:p>
    <w:p>
      <w:pPr>
        <w:numPr>
          <w:numId w:val="26"/>
        </w:numPr>
        <w:spacing w:before="120" w:after="120" w:line="288" w:lineRule="auto"/>
        <w:ind w:left="0"/>
        <w:jc w:val="left"/>
      </w:pPr>
      <w:r>
        <w:rPr>
          <w:rFonts w:eastAsia="等线" w:ascii="Arial" w:cs="Arial" w:hAnsi="Arial"/>
          <w:b w:val="true"/>
          <w:sz w:val="22"/>
        </w:rPr>
        <w:t>后续工作计划</w:t>
      </w:r>
    </w:p>
    <w:p>
      <w:pPr>
        <w:numPr>
          <w:numId w:val="27"/>
        </w:numPr>
        <w:spacing w:before="120" w:after="120" w:line="288" w:lineRule="auto"/>
        <w:ind w:left="453"/>
        <w:jc w:val="left"/>
      </w:pPr>
      <w:r>
        <w:rPr>
          <w:rFonts w:eastAsia="等线" w:ascii="Arial" w:cs="Arial" w:hAnsi="Arial"/>
          <w:b w:val="true"/>
          <w:sz w:val="22"/>
        </w:rPr>
        <w:t>推导假设 2</w:t>
      </w:r>
      <w:r>
        <w:rPr>
          <w:rFonts w:eastAsia="等线" w:ascii="Arial" w:cs="Arial" w:hAnsi="Arial"/>
          <w:sz w:val="22"/>
        </w:rPr>
        <w:t>：按照会议给定数据，推导假设年度双边按照最激进做法时的整体步骤。</w:t>
      </w:r>
    </w:p>
    <w:p>
      <w:pPr>
        <w:numPr>
          <w:numId w:val="28"/>
        </w:numPr>
        <w:spacing w:before="120" w:after="120" w:line="288" w:lineRule="auto"/>
        <w:ind w:left="453"/>
        <w:jc w:val="left"/>
      </w:pPr>
      <w:r>
        <w:rPr>
          <w:rFonts w:eastAsia="等线" w:ascii="Arial" w:cs="Arial" w:hAnsi="Arial"/>
          <w:b w:val="true"/>
          <w:sz w:val="22"/>
        </w:rPr>
        <w:t>深入思考交易逻辑</w:t>
      </w:r>
      <w:r>
        <w:rPr>
          <w:rFonts w:eastAsia="等线" w:ascii="Arial" w:cs="Arial" w:hAnsi="Arial"/>
          <w:sz w:val="22"/>
        </w:rPr>
        <w:t>：参会人员需深入思考交易逻辑，明确买卖逻辑，避免盲目操作。</w:t>
      </w:r>
    </w:p>
    <w:p>
      <w:pPr>
        <w:numPr>
          <w:numId w:val="29"/>
        </w:numPr>
        <w:spacing w:before="120" w:after="120" w:line="288" w:lineRule="auto"/>
        <w:ind w:left="453"/>
        <w:jc w:val="left"/>
      </w:pPr>
      <w:r>
        <w:rPr>
          <w:rFonts w:eastAsia="等线" w:ascii="Arial" w:cs="Arial" w:hAnsi="Arial"/>
          <w:b w:val="true"/>
          <w:sz w:val="22"/>
        </w:rPr>
        <w:t>持续关注交易数据</w:t>
      </w:r>
      <w:r>
        <w:rPr>
          <w:rFonts w:eastAsia="等线" w:ascii="Arial" w:cs="Arial" w:hAnsi="Arial"/>
          <w:sz w:val="22"/>
        </w:rPr>
        <w:t>：持续关注日清分的实际交易数据和月度结算单，及时进行复盘和策略调整。</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待辦</w:t>
      </w:r>
      <w:bookmarkEnd w:id="1"/>
    </w:p>
    <w:p>
      <w:pPr>
        <w:numPr>
          <w:numId w:val="30"/>
        </w:numPr>
        <w:spacing w:before="120" w:after="120" w:line="288" w:lineRule="auto"/>
        <w:ind w:left="0"/>
        <w:jc w:val="left"/>
      </w:pPr>
      <w:r>
        <w:rPr>
          <w:rFonts w:eastAsia="等线" w:ascii="Arial" w:cs="Arial" w:hAnsi="Arial"/>
          <w:sz w:val="22"/>
        </w:rPr>
        <w:t>假设2推导：根据收到的资料，推导年度双边按最激进做法下假设2的整体步骤</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智慧章節</w:t>
      </w:r>
      <w:bookmarkEnd w:id="2"/>
    </w:p>
    <w:p>
      <w:pPr>
        <w:spacing w:before="120" w:after="120" w:line="288" w:lineRule="auto"/>
        <w:ind w:left="0"/>
        <w:jc w:val="left"/>
      </w:pPr>
      <w:hyperlink r:id="rId8">
        <w:r>
          <w:rPr>
            <w:rFonts w:eastAsia="等线" w:ascii="Arial" w:cs="Arial" w:hAnsi="Arial"/>
            <w:color w:val="3370ff"/>
            <w:sz w:val="22"/>
          </w:rPr>
          <w:t>00:01</w:t>
        </w:r>
      </w:hyperlink>
      <w:r>
        <w:rPr>
          <w:rFonts w:eastAsia="等线" w:ascii="Arial" w:cs="Arial" w:hAnsi="Arial"/>
          <w:b w:val="true"/>
          <w:sz w:val="22"/>
        </w:rPr>
        <w:t xml:space="preserve">  交易框架思路及各交易产品特点与成交情况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交易整体框架思路，从年度交易到月度交易。年度交易分年度双边和年度挂牌，年度双边是按月可调曲线，年度挂牌是按月按时段均分的直线；月度交易有挂牌、竞价、日滚搓，月度挂牌按24个时段均分。各交易产品不一定成交，但年度双边正常一定成交，是盘口压舱石。</w:t>
            </w:r>
          </w:p>
        </w:tc>
      </w:tr>
    </w:tbl>
    <w:p>
      <w:pPr>
        <w:spacing w:before="120" w:after="120" w:line="288" w:lineRule="auto"/>
        <w:ind w:left="0"/>
        <w:jc w:val="left"/>
      </w:pPr>
      <w:hyperlink r:id="rId9">
        <w:r>
          <w:rPr>
            <w:rFonts w:eastAsia="等线" w:ascii="Arial" w:cs="Arial" w:hAnsi="Arial"/>
            <w:color w:val="3370ff"/>
            <w:sz w:val="22"/>
          </w:rPr>
          <w:t>04:00</w:t>
        </w:r>
      </w:hyperlink>
      <w:r>
        <w:rPr>
          <w:rFonts w:eastAsia="等线" w:ascii="Arial" w:cs="Arial" w:hAnsi="Arial"/>
          <w:b w:val="true"/>
          <w:sz w:val="22"/>
        </w:rPr>
        <w:t xml:space="preserve">  现货价格高低对持仓仓位及交易逻辑的影响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了交易中的三个逻辑。逻辑一是现货价格高低决定持仓位，范围在80%到120%；逻辑二是年度双边是仓位压仓石，判断现货价格趋势后可定其持仓比，现货价低时低位持仓利益最大化，价高时高位持仓较稳；逻辑三是中长期持仓需在80至120区间，否则会引发偏差考核。</w:t>
            </w:r>
          </w:p>
        </w:tc>
      </w:tr>
    </w:tbl>
    <w:p>
      <w:pPr>
        <w:spacing w:before="120" w:after="120" w:line="288" w:lineRule="auto"/>
        <w:ind w:left="0"/>
        <w:jc w:val="left"/>
      </w:pPr>
      <w:hyperlink r:id="rId10">
        <w:r>
          <w:rPr>
            <w:rFonts w:eastAsia="等线" w:ascii="Arial" w:cs="Arial" w:hAnsi="Arial"/>
            <w:color w:val="3370ff"/>
            <w:sz w:val="22"/>
          </w:rPr>
          <w:t>08:48</w:t>
        </w:r>
      </w:hyperlink>
      <w:r>
        <w:rPr>
          <w:rFonts w:eastAsia="等线" w:ascii="Arial" w:cs="Arial" w:hAnsi="Arial"/>
          <w:b w:val="true"/>
          <w:sz w:val="22"/>
        </w:rPr>
        <w:t xml:space="preserve">  现货价格、持仓比例与供需关系逻辑探讨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本章节围绕现货价格、持仓比例及供需关系展开讨论。指出判断现货价格高低需依据边际机组出清价格，不同机组出清价代表不同供需状态。还提到判断供需关系要看竞价空间，中长期持仓比例应在80% - 120%，若明年供需宽松，现货价格低，总持仓比应控在80%，20%用现货套利。</w:t>
            </w:r>
          </w:p>
        </w:tc>
      </w:tr>
    </w:tbl>
    <w:p>
      <w:pPr>
        <w:spacing w:before="120" w:after="120" w:line="288" w:lineRule="auto"/>
        <w:ind w:left="0"/>
        <w:jc w:val="left"/>
      </w:pPr>
      <w:hyperlink r:id="rId11">
        <w:r>
          <w:rPr>
            <w:rFonts w:eastAsia="等线" w:ascii="Arial" w:cs="Arial" w:hAnsi="Arial"/>
            <w:color w:val="3370ff"/>
            <w:sz w:val="22"/>
          </w:rPr>
          <w:t>24:33</w:t>
        </w:r>
      </w:hyperlink>
      <w:r>
        <w:rPr>
          <w:rFonts w:eastAsia="等线" w:ascii="Arial" w:cs="Arial" w:hAnsi="Arial"/>
          <w:b w:val="true"/>
          <w:sz w:val="22"/>
        </w:rPr>
        <w:t xml:space="preserve">  电力中长期产品购买策略与持仓比讨论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中长期5个电力产品（年度挂牌、年度双边、月度挂牌、月度竞价和日滚搓）的买卖策略展开讨论。提到中长期总持仓比控制在80%，分析各产品买卖规则、价格层级，探讨曲线可调与不可调下年度双边、年度挂牌的购买量，还提及月度挂牌、月度竞价的购买需考虑供需关系和24个时段用电量差异。</w:t>
            </w:r>
          </w:p>
        </w:tc>
      </w:tr>
    </w:tbl>
    <w:p>
      <w:pPr>
        <w:spacing w:before="120" w:after="120" w:line="288" w:lineRule="auto"/>
        <w:ind w:left="0"/>
        <w:jc w:val="left"/>
      </w:pPr>
      <w:hyperlink r:id="rId12">
        <w:r>
          <w:rPr>
            <w:rFonts w:eastAsia="等线" w:ascii="Arial" w:cs="Arial" w:hAnsi="Arial"/>
            <w:color w:val="3370ff"/>
            <w:sz w:val="22"/>
          </w:rPr>
          <w:t>01:03:30</w:t>
        </w:r>
      </w:hyperlink>
      <w:r>
        <w:rPr>
          <w:rFonts w:eastAsia="等线" w:ascii="Arial" w:cs="Arial" w:hAnsi="Arial"/>
          <w:b w:val="true"/>
          <w:sz w:val="22"/>
        </w:rPr>
        <w:t xml:space="preserve">  电力交易仓位补仓策略及复盘调整方法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本章节讨论了保守做法下的电力交易策略。先确定双边购买48% - 64%，用月竞补时段仓，月度挂牌需看月供需及价格，紧张时至少买最低持仓量100%。月度竞价买用电量大时段，日滚根据现货与持仓价格判断购买比例。还提到根据日清分数据复盘调整策略，最后让推导假设2的整体步骤。</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關鍵決策</w:t>
      </w:r>
      <w:bookmarkEnd w:id="3"/>
    </w:p>
    <w:p>
      <w:pPr>
        <w:numPr>
          <w:numId w:val="31"/>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：假设明年年度供需关系宽松，推导出现货价格处于低位，中长期总持仓比应控制在 80%，其中中长期持仓 80%，20% 用现货套利。</w:t>
      </w:r>
    </w:p>
    <w:p>
      <w:pPr>
        <w:numPr>
          <w:numId w:val="32"/>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：如何根据市场供需关系和现货价格确定交易策略及各产品的持仓比例。</w:t>
      </w:r>
    </w:p>
    <w:p>
      <w:pPr>
        <w:numPr>
          <w:numId w:val="33"/>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34"/>
        </w:numPr>
        <w:spacing w:before="120" w:after="120" w:line="288" w:lineRule="auto"/>
        <w:ind w:left="907"/>
        <w:jc w:val="left"/>
      </w:pPr>
      <w:r>
        <w:rPr>
          <w:rFonts w:eastAsia="等线" w:ascii="Arial" w:cs="Arial" w:hAnsi="Arial"/>
          <w:sz w:val="22"/>
        </w:rPr>
        <w:t>说话人 1 提出需判断现货价格高低、供需关系，明确中长期持仓比例范围在 80% - 120%，并根据不同情况调整各产品持仓。</w:t>
      </w:r>
    </w:p>
    <w:p>
      <w:pPr>
        <w:numPr>
          <w:numId w:val="35"/>
        </w:numPr>
        <w:spacing w:before="120" w:after="120" w:line="288" w:lineRule="auto"/>
        <w:ind w:left="907"/>
        <w:jc w:val="left"/>
      </w:pPr>
      <w:r>
        <w:rPr>
          <w:rFonts w:eastAsia="等线" w:ascii="Arial" w:cs="Arial" w:hAnsi="Arial"/>
          <w:sz w:val="22"/>
        </w:rPr>
        <w:t>说话人 2 提出一些产品购买思路，如年度双边按曲线分配、根据月供需情况决定月度挂牌购买等。</w:t>
      </w:r>
    </w:p>
    <w:p>
      <w:pPr>
        <w:numPr>
          <w:numId w:val="36"/>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：通过分析市场供需关系、现货价格以及各交易产品的特点和规则，以实现利益最大化和控制风险。</w:t>
      </w:r>
    </w:p>
    <w:p>
      <w:pPr>
        <w:pBdr>
          <w:bottom w:val="single" w:color="dee0e3"/>
          <w:between w:val="single" w:color="dee0e3"/>
        </w:pBdr>
        <w:spacing w:before="120" w:after="120" w:line="288" w:lineRule="auto"/>
        <w:ind w:left="0"/>
      </w:pPr>
    </w:p>
    <w:p>
      <w:pPr>
        <w:numPr>
          <w:numId w:val="37"/>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38"/>
        </w:numPr>
        <w:spacing w:before="120" w:after="120" w:line="288" w:lineRule="auto"/>
        <w:ind w:left="453"/>
        <w:jc w:val="left"/>
      </w:pPr>
      <w:r>
        <w:rPr>
          <w:rFonts w:eastAsia="等线" w:ascii="Arial" w:cs="Arial" w:hAnsi="Arial"/>
          <w:sz w:val="22"/>
        </w:rPr>
        <w:t>年度双边尽量找到可配合调整曲线且价格最低的电厂合作，曲线可调时尽量买到 64%，不可调时按最低用电量月份的 80% 购买，约 40%。</w:t>
      </w:r>
    </w:p>
    <w:p>
      <w:pPr>
        <w:numPr>
          <w:numId w:val="39"/>
        </w:numPr>
        <w:spacing w:before="120" w:after="120" w:line="288" w:lineRule="auto"/>
        <w:ind w:left="453"/>
        <w:jc w:val="left"/>
      </w:pPr>
      <w:r>
        <w:rPr>
          <w:rFonts w:eastAsia="等线" w:ascii="Arial" w:cs="Arial" w:hAnsi="Arial"/>
          <w:sz w:val="22"/>
        </w:rPr>
        <w:t>年度挂牌是否购买取决于年度双边购买量是否达到预期，未达到则需购买。</w:t>
      </w:r>
    </w:p>
    <w:p>
      <w:pPr>
        <w:numPr>
          <w:numId w:val="40"/>
        </w:numPr>
        <w:spacing w:before="120" w:after="120" w:line="288" w:lineRule="auto"/>
        <w:ind w:left="453"/>
        <w:jc w:val="left"/>
      </w:pPr>
      <w:r>
        <w:rPr>
          <w:rFonts w:eastAsia="等线" w:ascii="Arial" w:cs="Arial" w:hAnsi="Arial"/>
          <w:sz w:val="22"/>
        </w:rPr>
        <w:t>月度挂牌根据当月市场供需关系决定是否购买，紧张时必须买，至少买到最低持仓量的 100%。</w:t>
      </w:r>
    </w:p>
    <w:p>
      <w:pPr>
        <w:numPr>
          <w:numId w:val="41"/>
        </w:numPr>
        <w:spacing w:before="120" w:after="120" w:line="288" w:lineRule="auto"/>
        <w:ind w:left="453"/>
        <w:jc w:val="left"/>
      </w:pPr>
      <w:r>
        <w:rPr>
          <w:rFonts w:eastAsia="等线" w:ascii="Arial" w:cs="Arial" w:hAnsi="Arial"/>
          <w:sz w:val="22"/>
        </w:rPr>
        <w:t>月度竞价要买，选择用电量高的时段，尽量买到 80%。</w:t>
      </w:r>
    </w:p>
    <w:p>
      <w:pPr>
        <w:numPr>
          <w:numId w:val="42"/>
        </w:numPr>
        <w:spacing w:before="120" w:after="120" w:line="288" w:lineRule="auto"/>
        <w:ind w:left="453"/>
        <w:jc w:val="left"/>
      </w:pPr>
      <w:r>
        <w:rPr>
          <w:rFonts w:eastAsia="等线" w:ascii="Arial" w:cs="Arial" w:hAnsi="Arial"/>
          <w:sz w:val="22"/>
        </w:rPr>
        <w:t>日滚根据对未来现货价格与持仓价格的判断决定购买量，现货价格高于持仓价格时尽量买 100%，低于时买 80%。</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金句時刻</w:t>
      </w:r>
      <w:bookmarkEnd w:id="4"/>
    </w:p>
    <w:p>
      <w:pPr>
        <w:spacing w:before="120" w:after="120" w:line="288" w:lineRule="auto"/>
        <w:ind w:left="0"/>
        <w:jc w:val="left"/>
      </w:pPr>
      <w:r>
        <w:rPr>
          <w:rFonts w:eastAsia="等线" w:ascii="Arial" w:cs="Arial" w:hAnsi="Arial"/>
          <w:sz w:val="22"/>
        </w:rPr>
        <w:t>"现货价格高低决定了仓位，全年中长期的持仓比例应在 80% - 120%，否则会引起偏差考核。"</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明确了现货价格与仓位的关系以及中长期持仓比例的重要范围，是交易决策的关键依据。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"假设现货价格低，日滚价格大概率就低，此时低位持仓利益最大化；假设现货价格高，日滚价格大概率也高，此时高位持仓较稳，可减少现货价格波动对盘口的影响。"</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清晰阐述了不同现货价格情况下的持仓策略，对交易决策有重要指导意义。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"要根据日清分的实际交易数据，进行每日、每月的复盘，调整明天和下个月的交易策略。"</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强调了复盘和调整策略的重要性，有助于优化交易方案。</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相關連結</w:t>
      </w:r>
      <w:bookmarkEnd w:id="5"/>
    </w:p>
    <w:p>
      <w:pPr>
        <w:numPr>
          <w:numId w:val="43"/>
        </w:numPr>
        <w:spacing w:before="120" w:after="120" w:line="288" w:lineRule="auto"/>
        <w:ind w:left="0"/>
        <w:jc w:val="left"/>
      </w:pPr>
      <w:r>
        <w:rPr>
          <w:rFonts w:eastAsia="等线" w:ascii="Arial" w:cs="Arial" w:hAnsi="Arial"/>
          <w:sz w:val="22"/>
        </w:rPr>
        <w:t>妙記：</w:t>
      </w:r>
      <w:hyperlink r:id="rId13">
        <w:r>
          <w:rPr>
            <w:rFonts w:eastAsia="等线" w:ascii="Arial" w:cs="Arial" w:hAnsi="Arial"/>
            <w:color w:val="3370ff"/>
            <w:sz w:val="22"/>
          </w:rPr>
          <w:t>电力交易持仓策略规划</w:t>
        </w:r>
      </w:hyperlink>
    </w:p>
    <w:p>
      <w:pPr>
        <w:numPr>
          <w:numId w:val="44"/>
        </w:numPr>
        <w:spacing w:before="120" w:after="120" w:line="288" w:lineRule="auto"/>
        <w:ind w:left="0"/>
        <w:jc w:val="left"/>
      </w:pPr>
      <w:r>
        <w:rPr>
          <w:rFonts w:eastAsia="等线" w:ascii="Arial" w:cs="Arial" w:hAnsi="Arial"/>
          <w:sz w:val="22"/>
        </w:rPr>
        <w:t>文字記錄</w:t>
      </w:r>
    </w:p>
    <w:p>
      <w:pPr>
        <w:numPr>
          <w:numId w:val="45"/>
        </w:numPr>
        <w:spacing w:before="120" w:after="120" w:line="288" w:lineRule="auto"/>
        <w:ind w:left="453"/>
        <w:jc w:val="left"/>
      </w:pPr>
      <w:hyperlink r:id="rId14">
        <w:r>
          <w:rPr>
            <w:rFonts w:eastAsia="等线" w:ascii="Arial" w:cs="Arial" w:hAnsi="Arial"/>
            <w:color w:val="3370ff"/>
            <w:sz w:val="22"/>
          </w:rPr>
          <w:t>电力交易持仓策略规划 2026-06-01</w:t>
        </w:r>
      </w:hyperlink>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47761">
    <w:lvl>
      <w:numFmt w:val="bullet"/>
      <w:suff w:val="tab"/>
      <w:lvlText w:val="•"/>
      <w:rPr>
        <w:color w:val="3370ff"/>
      </w:rPr>
    </w:lvl>
  </w:abstractNum>
  <w:abstractNum w:abstractNumId="2147762">
    <w:lvl>
      <w:numFmt w:val="bullet"/>
      <w:suff w:val="tab"/>
      <w:lvlText w:val="•"/>
      <w:rPr>
        <w:color w:val="3370ff"/>
      </w:rPr>
    </w:lvl>
  </w:abstractNum>
  <w:abstractNum w:abstractNumId="2147763">
    <w:lvl>
      <w:numFmt w:val="bullet"/>
      <w:suff w:val="tab"/>
      <w:lvlText w:val="￮"/>
      <w:rPr>
        <w:color w:val="3370ff"/>
      </w:rPr>
    </w:lvl>
  </w:abstractNum>
  <w:abstractNum w:abstractNumId="2147764">
    <w:lvl>
      <w:numFmt w:val="bullet"/>
      <w:suff w:val="tab"/>
      <w:lvlText w:val="￮"/>
      <w:rPr>
        <w:color w:val="3370ff"/>
      </w:rPr>
    </w:lvl>
  </w:abstractNum>
  <w:abstractNum w:abstractNumId="2147765">
    <w:lvl>
      <w:numFmt w:val="bullet"/>
      <w:suff w:val="tab"/>
      <w:lvlText w:val="￮"/>
      <w:rPr>
        <w:color w:val="3370ff"/>
      </w:rPr>
    </w:lvl>
  </w:abstractNum>
  <w:abstractNum w:abstractNumId="2147766">
    <w:lvl>
      <w:numFmt w:val="bullet"/>
      <w:suff w:val="tab"/>
      <w:lvlText w:val="▪"/>
      <w:rPr>
        <w:color w:val="3370ff"/>
        <w:sz w:val="11"/>
      </w:rPr>
    </w:lvl>
  </w:abstractNum>
  <w:abstractNum w:abstractNumId="2147767">
    <w:lvl>
      <w:numFmt w:val="bullet"/>
      <w:suff w:val="tab"/>
      <w:lvlText w:val="▪"/>
      <w:rPr>
        <w:color w:val="3370ff"/>
        <w:sz w:val="11"/>
      </w:rPr>
    </w:lvl>
  </w:abstractNum>
  <w:abstractNum w:abstractNumId="2147768">
    <w:lvl>
      <w:numFmt w:val="bullet"/>
      <w:suff w:val="tab"/>
      <w:lvlText w:val="￮"/>
      <w:rPr>
        <w:color w:val="3370ff"/>
      </w:rPr>
    </w:lvl>
  </w:abstractNum>
  <w:abstractNum w:abstractNumId="2147769">
    <w:lvl>
      <w:numFmt w:val="bullet"/>
      <w:suff w:val="tab"/>
      <w:lvlText w:val="•"/>
      <w:rPr>
        <w:color w:val="3370ff"/>
      </w:rPr>
    </w:lvl>
  </w:abstractNum>
  <w:abstractNum w:abstractNumId="2147770">
    <w:lvl>
      <w:numFmt w:val="bullet"/>
      <w:suff w:val="tab"/>
      <w:lvlText w:val="•"/>
      <w:rPr>
        <w:color w:val="3370ff"/>
      </w:rPr>
    </w:lvl>
  </w:abstractNum>
  <w:abstractNum w:abstractNumId="2147771">
    <w:lvl>
      <w:numFmt w:val="bullet"/>
      <w:suff w:val="tab"/>
      <w:lvlText w:val="•"/>
      <w:rPr>
        <w:color w:val="3370ff"/>
      </w:rPr>
    </w:lvl>
  </w:abstractNum>
  <w:abstractNum w:abstractNumId="2147772">
    <w:lvl>
      <w:numFmt w:val="bullet"/>
      <w:suff w:val="tab"/>
      <w:lvlText w:val="￮"/>
      <w:rPr>
        <w:color w:val="3370ff"/>
      </w:rPr>
    </w:lvl>
  </w:abstractNum>
  <w:abstractNum w:abstractNumId="2147773">
    <w:lvl>
      <w:numFmt w:val="bullet"/>
      <w:suff w:val="tab"/>
      <w:lvlText w:val="￮"/>
      <w:rPr>
        <w:color w:val="3370ff"/>
      </w:rPr>
    </w:lvl>
  </w:abstractNum>
  <w:abstractNum w:abstractNumId="2147774">
    <w:lvl>
      <w:numFmt w:val="bullet"/>
      <w:suff w:val="tab"/>
      <w:lvlText w:val="￮"/>
      <w:rPr>
        <w:color w:val="3370ff"/>
      </w:rPr>
    </w:lvl>
  </w:abstractNum>
  <w:abstractNum w:abstractNumId="2147775">
    <w:lvl>
      <w:numFmt w:val="bullet"/>
      <w:suff w:val="tab"/>
      <w:lvlText w:val="•"/>
      <w:rPr>
        <w:color w:val="3370ff"/>
      </w:rPr>
    </w:lvl>
  </w:abstractNum>
  <w:abstractNum w:abstractNumId="2147776">
    <w:lvl>
      <w:numFmt w:val="bullet"/>
      <w:suff w:val="tab"/>
      <w:lvlText w:val="￮"/>
      <w:rPr>
        <w:color w:val="3370ff"/>
      </w:rPr>
    </w:lvl>
  </w:abstractNum>
  <w:abstractNum w:abstractNumId="2147777">
    <w:lvl>
      <w:numFmt w:val="bullet"/>
      <w:suff w:val="tab"/>
      <w:lvlText w:val="▪"/>
      <w:rPr>
        <w:color w:val="3370ff"/>
        <w:sz w:val="11"/>
      </w:rPr>
    </w:lvl>
  </w:abstractNum>
  <w:abstractNum w:abstractNumId="2147778">
    <w:lvl>
      <w:numFmt w:val="bullet"/>
      <w:suff w:val="tab"/>
      <w:lvlText w:val="▪"/>
      <w:rPr>
        <w:color w:val="3370ff"/>
        <w:sz w:val="11"/>
      </w:rPr>
    </w:lvl>
  </w:abstractNum>
  <w:abstractNum w:abstractNumId="2147779">
    <w:lvl>
      <w:numFmt w:val="bullet"/>
      <w:suff w:val="tab"/>
      <w:lvlText w:val="￮"/>
      <w:rPr>
        <w:color w:val="3370ff"/>
      </w:rPr>
    </w:lvl>
  </w:abstractNum>
  <w:abstractNum w:abstractNumId="2147780">
    <w:lvl>
      <w:numFmt w:val="bullet"/>
      <w:suff w:val="tab"/>
      <w:lvlText w:val="￮"/>
      <w:rPr>
        <w:color w:val="3370ff"/>
      </w:rPr>
    </w:lvl>
  </w:abstractNum>
  <w:abstractNum w:abstractNumId="2147781">
    <w:lvl>
      <w:numFmt w:val="bullet"/>
      <w:suff w:val="tab"/>
      <w:lvlText w:val="￮"/>
      <w:rPr>
        <w:color w:val="3370ff"/>
      </w:rPr>
    </w:lvl>
  </w:abstractNum>
  <w:abstractNum w:abstractNumId="2147782">
    <w:lvl>
      <w:numFmt w:val="bullet"/>
      <w:suff w:val="tab"/>
      <w:lvlText w:val="￮"/>
      <w:rPr>
        <w:color w:val="3370ff"/>
      </w:rPr>
    </w:lvl>
  </w:abstractNum>
  <w:abstractNum w:abstractNumId="2147783">
    <w:lvl>
      <w:numFmt w:val="bullet"/>
      <w:suff w:val="tab"/>
      <w:lvlText w:val="•"/>
      <w:rPr>
        <w:color w:val="3370ff"/>
      </w:rPr>
    </w:lvl>
  </w:abstractNum>
  <w:abstractNum w:abstractNumId="2147784">
    <w:lvl>
      <w:numFmt w:val="bullet"/>
      <w:suff w:val="tab"/>
      <w:lvlText w:val="￮"/>
      <w:rPr>
        <w:color w:val="3370ff"/>
      </w:rPr>
    </w:lvl>
  </w:abstractNum>
  <w:abstractNum w:abstractNumId="2147785">
    <w:lvl>
      <w:numFmt w:val="bullet"/>
      <w:suff w:val="tab"/>
      <w:lvlText w:val="￮"/>
      <w:rPr>
        <w:color w:val="3370ff"/>
      </w:rPr>
    </w:lvl>
  </w:abstractNum>
  <w:abstractNum w:abstractNumId="2147786">
    <w:lvl>
      <w:numFmt w:val="bullet"/>
      <w:suff w:val="tab"/>
      <w:lvlText w:val="•"/>
      <w:rPr>
        <w:color w:val="3370ff"/>
      </w:rPr>
    </w:lvl>
  </w:abstractNum>
  <w:abstractNum w:abstractNumId="2147787">
    <w:lvl>
      <w:numFmt w:val="bullet"/>
      <w:suff w:val="tab"/>
      <w:lvlText w:val="￮"/>
      <w:rPr>
        <w:color w:val="3370ff"/>
      </w:rPr>
    </w:lvl>
  </w:abstractNum>
  <w:abstractNum w:abstractNumId="2147788">
    <w:lvl>
      <w:numFmt w:val="bullet"/>
      <w:suff w:val="tab"/>
      <w:lvlText w:val="￮"/>
      <w:rPr>
        <w:color w:val="3370ff"/>
      </w:rPr>
    </w:lvl>
  </w:abstractNum>
  <w:abstractNum w:abstractNumId="2147789">
    <w:lvl>
      <w:numFmt w:val="bullet"/>
      <w:suff w:val="tab"/>
      <w:lvlText w:val="￮"/>
      <w:rPr>
        <w:color w:val="3370ff"/>
      </w:rPr>
    </w:lvl>
  </w:abstractNum>
  <w:abstractNum w:abstractNumId="2147790">
    <w:lvl>
      <w:numFmt w:val="bullet"/>
      <w:suff w:val="space"/>
      <w:lvlText w:val="□"/>
    </w:lvl>
  </w:abstractNum>
  <w:abstractNum w:abstractNumId="2147791">
    <w:lvl>
      <w:numFmt w:val="bullet"/>
      <w:suff w:val="tab"/>
      <w:lvlText w:val="•"/>
      <w:rPr>
        <w:color w:val="3370ff"/>
      </w:rPr>
    </w:lvl>
  </w:abstractNum>
  <w:abstractNum w:abstractNumId="2147792">
    <w:lvl>
      <w:numFmt w:val="bullet"/>
      <w:suff w:val="tab"/>
      <w:lvlText w:val="￮"/>
      <w:rPr>
        <w:color w:val="3370ff"/>
      </w:rPr>
    </w:lvl>
  </w:abstractNum>
  <w:abstractNum w:abstractNumId="2147793">
    <w:lvl>
      <w:numFmt w:val="bullet"/>
      <w:suff w:val="tab"/>
      <w:lvlText w:val="￮"/>
      <w:rPr>
        <w:color w:val="3370ff"/>
      </w:rPr>
    </w:lvl>
  </w:abstractNum>
  <w:abstractNum w:abstractNumId="2147794">
    <w:lvl>
      <w:numFmt w:val="bullet"/>
      <w:suff w:val="tab"/>
      <w:lvlText w:val="▪"/>
      <w:rPr>
        <w:color w:val="3370ff"/>
        <w:sz w:val="11"/>
      </w:rPr>
    </w:lvl>
  </w:abstractNum>
  <w:abstractNum w:abstractNumId="2147795">
    <w:lvl>
      <w:numFmt w:val="bullet"/>
      <w:suff w:val="tab"/>
      <w:lvlText w:val="▪"/>
      <w:rPr>
        <w:color w:val="3370ff"/>
        <w:sz w:val="11"/>
      </w:rPr>
    </w:lvl>
  </w:abstractNum>
  <w:abstractNum w:abstractNumId="2147796">
    <w:lvl>
      <w:numFmt w:val="bullet"/>
      <w:suff w:val="tab"/>
      <w:lvlText w:val="￮"/>
      <w:rPr>
        <w:color w:val="3370ff"/>
      </w:rPr>
    </w:lvl>
  </w:abstractNum>
  <w:abstractNum w:abstractNumId="2147797">
    <w:lvl>
      <w:numFmt w:val="bullet"/>
      <w:suff w:val="tab"/>
      <w:lvlText w:val="•"/>
      <w:rPr>
        <w:color w:val="3370ff"/>
      </w:rPr>
    </w:lvl>
  </w:abstractNum>
  <w:abstractNum w:abstractNumId="2147798">
    <w:lvl>
      <w:start w:val="1"/>
      <w:numFmt w:val="lowerLetter"/>
      <w:suff w:val="tab"/>
      <w:lvlText w:val="%1."/>
      <w:rPr>
        <w:color w:val="3370ff"/>
      </w:rPr>
    </w:lvl>
  </w:abstractNum>
  <w:abstractNum w:abstractNumId="2147799">
    <w:lvl>
      <w:start w:val="2"/>
      <w:numFmt w:val="lowerLetter"/>
      <w:suff w:val="tab"/>
      <w:lvlText w:val="%1."/>
      <w:rPr>
        <w:color w:val="3370ff"/>
      </w:rPr>
    </w:lvl>
  </w:abstractNum>
  <w:abstractNum w:abstractNumId="2147800">
    <w:lvl>
      <w:start w:val="3"/>
      <w:numFmt w:val="lowerLetter"/>
      <w:suff w:val="tab"/>
      <w:lvlText w:val="%1."/>
      <w:rPr>
        <w:color w:val="3370ff"/>
      </w:rPr>
    </w:lvl>
  </w:abstractNum>
  <w:abstractNum w:abstractNumId="2147801">
    <w:lvl>
      <w:start w:val="4"/>
      <w:numFmt w:val="lowerLetter"/>
      <w:suff w:val="tab"/>
      <w:lvlText w:val="%1."/>
      <w:rPr>
        <w:color w:val="3370ff"/>
      </w:rPr>
    </w:lvl>
  </w:abstractNum>
  <w:abstractNum w:abstractNumId="2147802">
    <w:lvl>
      <w:start w:val="5"/>
      <w:numFmt w:val="lowerLetter"/>
      <w:suff w:val="tab"/>
      <w:lvlText w:val="%1."/>
      <w:rPr>
        <w:color w:val="3370ff"/>
      </w:rPr>
    </w:lvl>
  </w:abstractNum>
  <w:abstractNum w:abstractNumId="2147803">
    <w:lvl>
      <w:numFmt w:val="bullet"/>
      <w:suff w:val="tab"/>
      <w:lvlText w:val="•"/>
      <w:rPr>
        <w:color w:val="3370ff"/>
      </w:rPr>
    </w:lvl>
  </w:abstractNum>
  <w:abstractNum w:abstractNumId="2147804">
    <w:lvl>
      <w:numFmt w:val="bullet"/>
      <w:suff w:val="tab"/>
      <w:lvlText w:val="•"/>
      <w:rPr>
        <w:color w:val="3370ff"/>
      </w:rPr>
    </w:lvl>
  </w:abstractNum>
  <w:abstractNum w:abstractNumId="2147805">
    <w:lvl>
      <w:numFmt w:val="bullet"/>
      <w:suff w:val="tab"/>
      <w:lvlText w:val="￮"/>
      <w:rPr>
        <w:color w:val="3370ff"/>
      </w:rPr>
    </w:lvl>
  </w:abstractNum>
  <w:num w:numId="1">
    <w:abstractNumId w:val="2147761"/>
  </w:num>
  <w:num w:numId="2">
    <w:abstractNumId w:val="2147762"/>
  </w:num>
  <w:num w:numId="3">
    <w:abstractNumId w:val="2147763"/>
  </w:num>
  <w:num w:numId="4">
    <w:abstractNumId w:val="2147764"/>
  </w:num>
  <w:num w:numId="5">
    <w:abstractNumId w:val="2147765"/>
  </w:num>
  <w:num w:numId="6">
    <w:abstractNumId w:val="2147766"/>
  </w:num>
  <w:num w:numId="7">
    <w:abstractNumId w:val="2147767"/>
  </w:num>
  <w:num w:numId="8">
    <w:abstractNumId w:val="2147768"/>
  </w:num>
  <w:num w:numId="9">
    <w:abstractNumId w:val="2147769"/>
  </w:num>
  <w:num w:numId="10">
    <w:abstractNumId w:val="2147770"/>
  </w:num>
  <w:num w:numId="11">
    <w:abstractNumId w:val="2147771"/>
  </w:num>
  <w:num w:numId="12">
    <w:abstractNumId w:val="2147772"/>
  </w:num>
  <w:num w:numId="13">
    <w:abstractNumId w:val="2147773"/>
  </w:num>
  <w:num w:numId="14">
    <w:abstractNumId w:val="2147774"/>
  </w:num>
  <w:num w:numId="15">
    <w:abstractNumId w:val="2147775"/>
  </w:num>
  <w:num w:numId="16">
    <w:abstractNumId w:val="2147776"/>
  </w:num>
  <w:num w:numId="17">
    <w:abstractNumId w:val="2147777"/>
  </w:num>
  <w:num w:numId="18">
    <w:abstractNumId w:val="2147778"/>
  </w:num>
  <w:num w:numId="19">
    <w:abstractNumId w:val="2147779"/>
  </w:num>
  <w:num w:numId="20">
    <w:abstractNumId w:val="2147780"/>
  </w:num>
  <w:num w:numId="21">
    <w:abstractNumId w:val="2147781"/>
  </w:num>
  <w:num w:numId="22">
    <w:abstractNumId w:val="2147782"/>
  </w:num>
  <w:num w:numId="23">
    <w:abstractNumId w:val="2147783"/>
  </w:num>
  <w:num w:numId="24">
    <w:abstractNumId w:val="2147784"/>
  </w:num>
  <w:num w:numId="25">
    <w:abstractNumId w:val="2147785"/>
  </w:num>
  <w:num w:numId="26">
    <w:abstractNumId w:val="2147786"/>
  </w:num>
  <w:num w:numId="27">
    <w:abstractNumId w:val="2147787"/>
  </w:num>
  <w:num w:numId="28">
    <w:abstractNumId w:val="2147788"/>
  </w:num>
  <w:num w:numId="29">
    <w:abstractNumId w:val="2147789"/>
  </w:num>
  <w:num w:numId="30">
    <w:abstractNumId w:val="2147790"/>
  </w:num>
  <w:num w:numId="31">
    <w:abstractNumId w:val="2147791"/>
  </w:num>
  <w:num w:numId="32">
    <w:abstractNumId w:val="2147792"/>
  </w:num>
  <w:num w:numId="33">
    <w:abstractNumId w:val="2147793"/>
  </w:num>
  <w:num w:numId="34">
    <w:abstractNumId w:val="2147794"/>
  </w:num>
  <w:num w:numId="35">
    <w:abstractNumId w:val="2147795"/>
  </w:num>
  <w:num w:numId="36">
    <w:abstractNumId w:val="2147796"/>
  </w:num>
  <w:num w:numId="37">
    <w:abstractNumId w:val="2147797"/>
  </w:num>
  <w:num w:numId="38">
    <w:abstractNumId w:val="2147798"/>
  </w:num>
  <w:num w:numId="39">
    <w:abstractNumId w:val="2147799"/>
  </w:num>
  <w:num w:numId="40">
    <w:abstractNumId w:val="2147800"/>
  </w:num>
  <w:num w:numId="41">
    <w:abstractNumId w:val="2147801"/>
  </w:num>
  <w:num w:numId="42">
    <w:abstractNumId w:val="2147802"/>
  </w:num>
  <w:num w:numId="43">
    <w:abstractNumId w:val="2147803"/>
  </w:num>
  <w:num w:numId="44">
    <w:abstractNumId w:val="2147804"/>
  </w:num>
  <w:num w:numId="45">
    <w:abstractNumId w:val="21478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k0rdxazbmiq.feishu.cn/minutes/obcnyhz7g27p998fixsparuu?t=528000" TargetMode="External" Type="http://schemas.openxmlformats.org/officeDocument/2006/relationships/hyperlink"/><Relationship Id="rId11" Target="https://k0rdxazbmiq.feishu.cn/minutes/obcnyhz7g27p998fixsparuu?t=1473000" TargetMode="External" Type="http://schemas.openxmlformats.org/officeDocument/2006/relationships/hyperlink"/><Relationship Id="rId12" Target="https://k0rdxazbmiq.feishu.cn/minutes/obcnyhz7g27p998fixsparuu?t=3810000" TargetMode="External" Type="http://schemas.openxmlformats.org/officeDocument/2006/relationships/hyperlink"/><Relationship Id="rId13" Target="https://k0rdxazbmiq.feishu.cn/minutes/obcnyhz7g27p998fixsparuu?from=ai_minutes" TargetMode="External" Type="http://schemas.openxmlformats.org/officeDocument/2006/relationships/hyperlink"/><Relationship Id="rId14" Target="https://k0rdxazbmiq.feishu.cn/docx/TD7td6DfUo20KFxjm88c5YrGnJd"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k0rdxazbmiq.feishu.cn/minutes/obcnyhz7g27p998fixsparuu?t=1000" TargetMode="External" Type="http://schemas.openxmlformats.org/officeDocument/2006/relationships/hyperlink"/><Relationship Id="rId9" Target="https://k0rdxazbmiq.feishu.cn/minutes/obcnyhz7g27p998fixsparuu?t=240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2026-06-01T04:00:36Z</dcterms:created>
  <dc:creator>Apache POI</dc:creator>
</cp:coreProperties>
</file>