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电力市场化改革主体影响分析</w:t>
      </w:r>
    </w:p>
    <w:p>
      <w:pPr>
        <w:spacing w:after="6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——思维整理报告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一、问题全景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本报告基于两张手写笔记，分析电力市场化改革对各类市场主体的影响。核心问题是：不同类型市场主体（煤电、新能源、电网、售电、电力用户、新型主体）如何应对市场化改革，各自的机遇与策略是什么？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笔记以2020年福建电力现货市场试点为切入点，系统梳理了市场化改革的背景、机制、主体影响和应对策略。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二、问题拆解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主体影响分析框架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笔记从六大主体角度分析了市场化改革的影响：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主体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影响/机遇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煤电企业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经营压力增大，从“电量竞争”转向“服务竞争”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灵活性改造，参与辅助服务市场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新能源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绿电交易机制完善，收益不确定性增加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精准预测出力，控制偏差风险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电网企业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提升调度与结算能力，增值服务空间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加强智能化建设，构建高效市场服务平台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售电公司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“价差套利”时代结束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强化负荷预测能力，创新综合能源服务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电力用户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强制入市，需优化用电策略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建立精细化用电管理体系，参与需求响应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新型主体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储能、虚拟电厂等发展空间大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完成市场准入资质，提升专业运营能力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市场机制与交易品种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政策背景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2020年福建电力现货市场试点启动，原因是清洁能源大规模并网。全国统一电力市场加速建设，关键政策密集出台。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新型主体分类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技术类：分布式光伏、分散式风电、储能系统、可调节负荷、虚拟电厂、微电网、源网荷储一体化项目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资源聚合类：虚拟电厂、负荷聚合商、独立储能、源网荷储一体化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 交易品种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多年、年度、月度、月内 → 日前、日内、实时交易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 电价形成机制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边际成本定价 → 市场主导、政府指导、不同电源分别定价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中长期：保供稳价，控制市场风险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现货：体现电能商品的时间价值、空间价值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5. 用户电价形式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固定价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随市场供需关系发电成本变动而浮动（联动机制）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6. 绿电交易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绿电交易机制完善，环境价值显性化。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7. 跨省跨区交易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打破壁垒，实现资源互补。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8. 风险评价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煤电企业：年发电量 &lt; 上年实际用电量 70% → 风险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电力用户：售电公司、年签 &gt; 实际用电 → 偏差考核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三、多视角分析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视角一：政策研究员 — 改革脉络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核心观点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从“计划电”到“市场电”的系统性变革。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关键论据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2020年福建试点 → 2025年全面放开（经营性电力用户）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交易品种从年度、月度扩展到日前、日内、实时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电价从“政府定价”转向“市场定价+政府指导”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绿电交易机制建立，环境价值显性化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建议行动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密切关注各省现货市场推进节奏，优先布局市场化程度高的区域。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视角二：市场分析师 — 价格机制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核心观点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电价将真实反映电能的时间价值和空间价值。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关键论据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中长期市场：保供稳价，控制市场风险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现货市场：边际成本定价，体现供需关系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联动机制：电价随市场供需和发电成本浮动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绿电溢价：环境价值通过绿电交易实现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建议行动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建立价格预测能力，帮助客户优化购电策略。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视角三：商业策略师 — 主体转型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核心观点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每个主体都需要重新定位自己的价值。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主体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旧模式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新模式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关键能力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煤电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基荷发电卖电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灵活性调节服务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深度调峰、快速响应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新能源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补贴依赖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市场化交易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精准预测、偏差控制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电网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统购统销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平台服务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智能调度、结算服务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售电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价差套利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综合能源服务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负荷预测、客户运营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被动用电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主动管理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需求响应、用电优化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新型主体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聚合调节服务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资源整合、平台运营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四、思维盲区提醒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区域差异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各省市场化进度不同。福建、山西、广东走在前列，其他省份可能滞后2-3年。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技术门槛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精准负荷预测、出力预测成为核心竞争力，技术能力不足将面临淘汰。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 资金压力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灵活性改造、储能投资需要大量资金，中小企业可能难以承担。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4. 政策不确定性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市场规则仍在完善中，存在政策调整风险。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5. 人才短缺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懂电力市场、懂交易、懂技术的复合型人才稀缺。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五、综合建议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核心判断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电力市场化改革已进入深水区，“预测能力”和“服务能力”将成为核心竞争力。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战略定位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作为综合能源服务公司，你的机会在于帮助各类主体应对市场化，不是卖电，而是卖“降低市场风险”的服务。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落地路径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短期（1-6月）：电力现货交易AI助手，服务售电公司、大工业用户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中期（6-18月）：负荷预测、出力预测服务，服务新能源、售电公司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长期（18月+）：虚拟电厂运营、综合能源服务，服务园区、新型主体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六、下一步行动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800"/>
        <w:gridCol w:w="20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优先级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行动项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预期成果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时间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开发现货价格预测模型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3-5个试点客户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1-2月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建立负荷预测能力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服务售电公司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2-4月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研究新型主体聚合模式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虚拟电厂方案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3-6月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拓展跨省跨区交易服务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区域客户群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6-12月</w:t>
            </w:r>
          </w:p>
        </w:tc>
      </w:tr>
    </w:tbl>
    <w:p>
      <w:pPr>
        <w:spacing w:before="400"/>
      </w:pPr>
    </w:p>
    <w:p>
      <w:pPr>
        <w:shd w:fill="F5F5F5" w:val="clear"/>
        <w:spacing w:after="150" w:before="150"/>
        <w:ind w:left="720"/>
      </w:pPr>
      <w:r>
        <w:rPr>
          <w:rFonts w:ascii="Arial" w:eastAsia="Microsoft YaHei" w:hAnsi="Arial"/>
          <w:i/>
          <w:iCs/>
          <w:color w:val="666666"/>
          <w:sz w:val="22"/>
          <w:szCs w:val="22"/>
        </w:rPr>
        <w:t xml:space="preserve">一句话战略真理：在电力市场化时代，“预测准”比“发电多”更值钱，“服务好”比“价差大”更可持续。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eastAsia="Microsoft YaHei" w:hAnsi="Arial"/>
        <w:color w:val="666666"/>
        <w:sz w:val="18"/>
        <w:szCs w:val="18"/>
      </w:rPr>
      <w:t xml:space="preserve">电力市场化改革主体影响分析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2026-05-28T15:19:49.160Z</dcterms:created>
  <dcterms:modified xsi:type="dcterms:W3CDTF">2026-05-28T15:19:49.162Z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