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中国能源转型与电力市场经济性分析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——思维整理报告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一、问题全景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本报告基于一张手写思维导图，分析中国“十四五”期间电力市场化改革对能源行业的影响。核心问题是：市场化改革下，新能源超规划发展如何冲击传统电力系统，以及新型主体如何寻找商业机会？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手写图呈现了一个完整的因果链条：从“十四五”市场化改革出发，分析经济性压力如何驱动新能源发展、冲击煤电资产，最终指向“源网荷储一体化”和“新型主体”的破局方向。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二、问题拆解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核心因果链条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整个分析可以拆解为以下因果链条：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“十四五”市场化 → 经济性压力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新能源超规划发展 → 系统调节能力下降 → 新能源消纳受限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煤电装机持续增长 → 煤电资产收益下降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市场均价下行压力 → 电价上涨 vs 风光成本下降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破局方向：就近平衡、煤电转型、新型主体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关键节点分析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节点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现象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本质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新能源超规划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风光装机增速超预期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政策驱动+成本下降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煤电装机增长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煤电仍在新增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保供需求+路径依赖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系统调节能力下降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调峰资源不足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灵活性供给跟不上波动性需求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煤电收益下降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利用小时数下滑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从“主力电源”变为“调节电源”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市场均价下行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现货价格走低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供大于求+边际成本定价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三、多视角分析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视角一：政策分析师 — 宏观驱动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市场化改革是底层驱动力，经济性成为核心考核指标。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关键论据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“十四五”规划明确电力市场化方向，电价由市场决定。2025年经营性电力用户全面放开，现货市场常态化运行。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新能源平价上网：风光发电成本持续下降，已实现平价上网，不再依赖补贴。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煤电角色转变：煤电从“保供主力”变为“调节补充”。容量电价机制逐步建立。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建议行动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密切关注各省现货市场推进节奏，提前布局市场化交易能力。山东、广东、山西等省份走得较快，其他省份可能滞后2-3年。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视角二：电力系统工程师 — 系统约束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系统调节能力是瓶颈，不是发电能力。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关键论据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波动性挑战：新能源出力具有强波动性和不确定性。风光出力曲线与负荷曲线不匹配。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调节资源不足：传统煤电设计为基荷运行，调峰能力有限（通常仅30%-40%额定容量）。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消纳瓶颈转移：系统受阻点从“发电侧”转移到“调节侧”。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技术解决方案：源网荷储一体化是解决局部平衡的技术路径。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建议行动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聚焦“调节能力”而非“发电能力”，这是未来价值所在。储能、需求响应、虚拟电厂等灵活性资源将成为投资热点。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视角三：商业模式设计师 — 机会识别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新型主体的收入来源多元化，从单一“卖电”转向“服务变现”。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传统煤电 vs 新型主体收入结构对比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收入来源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传统煤电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新型主体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电能量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40%-60%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容量补偿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15%-25%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辅助服务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15%-25%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碳资产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5%-10%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关键机会分析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主体类型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核心能力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收入来源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目标客户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煤电灵活性改造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深度调峰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辅助服务+容量电价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电网公司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分布式光伏+储能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就地消纳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电能量+峰谷套利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工商业用户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虚拟电厂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聚合调节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辅助服务+需求响应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电网公司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园区微电网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自平衡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过网费节省+绿电溢价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园区/大工业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四、思维盲区提醒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基于以上分析，你可能忽略了以下因素：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政策执行节奏差异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各省市场化进度不同。山东、广东、山西现货市场已常态化运行，而部分省份可能滞后2-3年。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技术成熟度风险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储能成本虽持续下降，但长时储能（4小时以上）的经济性仍待验证。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电网公司角色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源网荷储一体化可能触动电网公司利益。配电网运营权、过网费收入、调度权限等问题可能成为推进阻力。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 客户付费意愿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新型服务的价值能否转化为客户付费，需要验证。客户对“降本”的付费意愿通常高于“增效”。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五、综合建议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核心判断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手写图已经抓住了本质——“经济性”是驱动一切变革的底层逻辑。市场化改革将经济性压力传导至每个市场主体，倒逼转型。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战略定位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作为综合能源服务公司，你的机会不在“发电”，而在“调节”和“服务”。帮助客户应对市场化、降低用电成本、提升绿电比例。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落地路径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短期（1-6月）：聚焦电力现货交易AI助手，帮助客户在市场化中降低成本。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中期（6-18月）：拓展虚拟电厂/需求响应能力，参与辅助服务市场。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长期（18月+）：打造源网荷储一体化解决方案，服务园区/大工业客户。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六、下一步行动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行动项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预期成果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完成电力现货交易AI助手MVP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3-5个种子客户验证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1-2月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研究各省辅助服务市场规则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明确可参与的调节服务类型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2-3月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对接1-2个园区客户，试点源网荷储方案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积累一体化项目经验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3-6月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建立煤电灵活性改造业务线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开拓煤电客户转型服务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6-12月</w:t>
            </w:r>
          </w:p>
        </w:tc>
      </w:tr>
    </w:tbl>
    <w:p>
      <w:pPr>
        <w:spacing w:before="400"/>
      </w:pPr>
    </w:p>
    <w:p>
      <w:pPr>
        <w:shd w:fill="F5F5F5" w:val="clear"/>
        <w:spacing w:after="150" w:before="150"/>
        <w:ind w:left="720"/>
      </w:pPr>
      <w:r>
        <w:rPr>
          <w:rFonts w:ascii="Arial" w:eastAsia="Microsoft YaHei" w:hAnsi="Arial"/>
          <w:i/>
          <w:iCs/>
          <w:color w:val="666666"/>
          <w:sz w:val="22"/>
          <w:szCs w:val="22"/>
        </w:rPr>
        <w:t xml:space="preserve">一句话战略真理：在电力市场化时代，“调节能力”比“发电能力”更值钱，“服务客户”比“卖电”更可持续。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中国能源转型与电力市场经济性分析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2026-05-27T15:49:11.633Z</dcterms:created>
  <dcterms:modified xsi:type="dcterms:W3CDTF">2026-05-27T15:49:11.634Z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