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1EE198">
      <w:pPr>
        <w:rPr>
          <w:rFonts w:hint="eastAsia"/>
        </w:rPr>
      </w:pPr>
      <w:r>
        <w:rPr>
          <w:rFonts w:hint="eastAsia"/>
        </w:rPr>
        <w:t>加快建设全国统一电力市场体系的指导意见</w:t>
      </w:r>
    </w:p>
    <w:p w14:paraId="13750119">
      <w:pPr>
        <w:rPr>
          <w:rFonts w:hint="eastAsia"/>
        </w:rPr>
      </w:pPr>
    </w:p>
    <w:p w14:paraId="4EB09BB0">
      <w:pPr>
        <w:rPr>
          <w:rFonts w:hint="eastAsia"/>
          <w:lang w:val="en-US" w:eastAsia="zh-CN"/>
        </w:rPr>
      </w:pPr>
      <w:r>
        <w:rPr>
          <w:rFonts w:hint="eastAsia"/>
          <w:lang w:val="en-US" w:eastAsia="zh-CN"/>
        </w:rPr>
        <w:t>存在什么问题：存在体系不完整、功能不完善、交易规则不统一、跨省跨区交易存在市场壁垒等问题</w:t>
      </w:r>
    </w:p>
    <w:p w14:paraId="3228FA74">
      <w:pPr>
        <w:rPr>
          <w:rFonts w:hint="eastAsia"/>
          <w:lang w:val="en-US" w:eastAsia="zh-CN"/>
        </w:rPr>
      </w:pPr>
      <w:r>
        <w:rPr>
          <w:rFonts w:hint="eastAsia"/>
          <w:lang w:val="en-US" w:eastAsia="zh-CN"/>
        </w:rPr>
        <w:t>达成什么目标：实现电力资源在更大范围内共享互济和优化配置，提升电力系统稳定性和灵活调节能力，推动形成适合中国国情、有更强新能源消纳能力的新型电力系统。</w:t>
      </w:r>
    </w:p>
    <w:p w14:paraId="60CC51D1">
      <w:pPr>
        <w:rPr>
          <w:rFonts w:hint="default"/>
          <w:lang w:val="en-US" w:eastAsia="zh-CN"/>
        </w:rPr>
      </w:pPr>
      <w:r>
        <w:rPr>
          <w:rFonts w:hint="eastAsia"/>
          <w:lang w:val="en-US" w:eastAsia="zh-CN"/>
        </w:rPr>
        <w:t>阶段性指标：到2025年，全国统一电力市场体系</w:t>
      </w:r>
      <w:r>
        <w:rPr>
          <w:rFonts w:hint="eastAsia"/>
          <w:highlight w:val="yellow"/>
          <w:lang w:val="en-US" w:eastAsia="zh-CN"/>
        </w:rPr>
        <w:t>初步建成</w:t>
      </w:r>
      <w:r>
        <w:rPr>
          <w:rFonts w:hint="eastAsia"/>
          <w:lang w:val="en-US" w:eastAsia="zh-CN"/>
        </w:rPr>
        <w:t>，各市场协同运行，</w:t>
      </w:r>
      <w:bookmarkStart w:id="0" w:name="OLE_LINK1"/>
      <w:r>
        <w:rPr>
          <w:rFonts w:hint="eastAsia"/>
          <w:lang w:val="en-US" w:eastAsia="zh-CN"/>
        </w:rPr>
        <w:t>电力中长期、现货、辅助服务市场</w:t>
      </w:r>
      <w:bookmarkEnd w:id="0"/>
      <w:r>
        <w:rPr>
          <w:rFonts w:hint="eastAsia"/>
          <w:lang w:val="en-US" w:eastAsia="zh-CN"/>
        </w:rPr>
        <w:t>一体化设计、联合运营，跨省跨区资源市场化配置和绿色电力交易规模显著提高，</w:t>
      </w:r>
      <w:r>
        <w:rPr>
          <w:rFonts w:hint="eastAsia"/>
          <w:highlight w:val="yellow"/>
          <w:lang w:val="en-US" w:eastAsia="zh-CN"/>
        </w:rPr>
        <w:t>有利于</w:t>
      </w:r>
      <w:r>
        <w:rPr>
          <w:rFonts w:hint="eastAsia"/>
          <w:highlight w:val="cyan"/>
          <w:lang w:val="en-US" w:eastAsia="zh-CN"/>
        </w:rPr>
        <w:t>新能源、储能</w:t>
      </w:r>
      <w:r>
        <w:rPr>
          <w:rFonts w:hint="eastAsia"/>
          <w:highlight w:val="yellow"/>
          <w:lang w:val="en-US" w:eastAsia="zh-CN"/>
        </w:rPr>
        <w:t>等发展的市场交易和价格机制初步形成</w:t>
      </w:r>
      <w:r>
        <w:rPr>
          <w:rFonts w:hint="eastAsia"/>
          <w:lang w:val="en-US" w:eastAsia="zh-CN"/>
        </w:rPr>
        <w:t>。到2030年，全国统一电力市场体系</w:t>
      </w:r>
      <w:r>
        <w:rPr>
          <w:rFonts w:hint="eastAsia"/>
          <w:highlight w:val="yellow"/>
          <w:lang w:val="en-US" w:eastAsia="zh-CN"/>
        </w:rPr>
        <w:t>基本建成</w:t>
      </w:r>
      <w:r>
        <w:rPr>
          <w:rFonts w:hint="eastAsia"/>
          <w:lang w:val="en-US" w:eastAsia="zh-CN"/>
        </w:rPr>
        <w:t>，适应新型电力系统要求，国家市场与省（区、市）/区域市场联合运行，新能源全面参与市场交易，市场主体平等竞争、自主选择，电力资源在全国范围内得到进一步优化配置。</w:t>
      </w:r>
    </w:p>
    <w:p w14:paraId="7C85B199">
      <w:pPr>
        <w:rPr>
          <w:rFonts w:hint="eastAsia"/>
          <w:lang w:val="en-US" w:eastAsia="zh-CN"/>
        </w:rPr>
      </w:pPr>
      <w:r>
        <w:rPr>
          <w:rFonts w:hint="eastAsia"/>
          <w:lang w:val="en-US" w:eastAsia="zh-CN"/>
        </w:rPr>
        <w:t>原则：1.做好电力市场功能结构的总体设计，实现不同层次市场的高效协同、有机衔接</w:t>
      </w:r>
    </w:p>
    <w:p w14:paraId="36159FB3">
      <w:pPr>
        <w:numPr>
          <w:ilvl w:val="0"/>
          <w:numId w:val="1"/>
        </w:numPr>
        <w:rPr>
          <w:rFonts w:hint="eastAsia"/>
          <w:lang w:val="en-US" w:eastAsia="zh-CN"/>
        </w:rPr>
      </w:pPr>
      <w:r>
        <w:rPr>
          <w:rFonts w:hint="eastAsia"/>
          <w:lang w:val="en-US" w:eastAsia="zh-CN"/>
        </w:rPr>
        <w:t>完善体制机制，创新市场模式，促进新能源的投资、生产、交易、消纳，发挥电力市场对能源清洁低碳转型的支撑作用</w:t>
      </w:r>
    </w:p>
    <w:p w14:paraId="2A8F35FB">
      <w:pPr>
        <w:numPr>
          <w:ilvl w:val="0"/>
          <w:numId w:val="1"/>
        </w:numPr>
        <w:ind w:left="0" w:leftChars="0" w:firstLine="0" w:firstLineChars="0"/>
        <w:rPr>
          <w:rFonts w:hint="default" w:ascii="宋体" w:hAnsi="宋体" w:eastAsia="宋体" w:cs="宋体"/>
          <w:i w:val="0"/>
          <w:iCs w:val="0"/>
          <w:caps w:val="0"/>
          <w:color w:val="333333"/>
          <w:spacing w:val="0"/>
          <w:sz w:val="24"/>
          <w:szCs w:val="24"/>
          <w:shd w:val="clear" w:fill="FFFFFF"/>
          <w:lang w:val="en-US" w:eastAsia="zh-CN"/>
        </w:rPr>
      </w:pPr>
      <w:r>
        <w:rPr>
          <w:rFonts w:hint="eastAsia"/>
          <w:lang w:val="en-US" w:eastAsia="zh-CN"/>
        </w:rPr>
        <w:t>从</w:t>
      </w:r>
      <w:r>
        <w:rPr>
          <w:rFonts w:hint="eastAsia" w:ascii="宋体" w:hAnsi="宋体" w:eastAsia="宋体" w:cs="宋体"/>
          <w:i w:val="0"/>
          <w:iCs w:val="0"/>
          <w:caps w:val="0"/>
          <w:color w:val="333333"/>
          <w:spacing w:val="0"/>
          <w:sz w:val="24"/>
          <w:szCs w:val="24"/>
          <w:shd w:val="clear" w:fill="FFFFFF"/>
        </w:rPr>
        <w:t>实际国情</w:t>
      </w:r>
      <w:r>
        <w:rPr>
          <w:rFonts w:hint="eastAsia" w:ascii="宋体" w:hAnsi="宋体" w:eastAsia="宋体" w:cs="宋体"/>
          <w:i w:val="0"/>
          <w:iCs w:val="0"/>
          <w:caps w:val="0"/>
          <w:color w:val="333333"/>
          <w:spacing w:val="0"/>
          <w:sz w:val="24"/>
          <w:szCs w:val="24"/>
          <w:shd w:val="clear" w:fill="FFFFFF"/>
          <w:lang w:val="en-US" w:eastAsia="zh-CN"/>
        </w:rPr>
        <w:t>出发借鉴外国成熟经验，设计市场模式和路径，保障居民，农业用电价格稳定，</w:t>
      </w:r>
    </w:p>
    <w:p w14:paraId="5AF4013A">
      <w:pPr>
        <w:numPr>
          <w:ilvl w:val="0"/>
          <w:numId w:val="0"/>
        </w:numPr>
        <w:ind w:leftChars="0"/>
        <w:rPr>
          <w:rFonts w:hint="eastAsia" w:ascii="宋体" w:hAnsi="宋体" w:eastAsia="宋体" w:cs="宋体"/>
          <w:i w:val="0"/>
          <w:iCs w:val="0"/>
          <w:caps w:val="0"/>
          <w:color w:val="333333"/>
          <w:spacing w:val="0"/>
          <w:sz w:val="24"/>
          <w:szCs w:val="24"/>
          <w:shd w:val="clear" w:fill="FFFFFF"/>
          <w:lang w:val="en-US" w:eastAsia="zh-CN"/>
        </w:rPr>
      </w:pPr>
    </w:p>
    <w:p w14:paraId="264F0FAC">
      <w:pPr>
        <w:numPr>
          <w:ilvl w:val="0"/>
          <w:numId w:val="0"/>
        </w:numPr>
        <w:ind w:leftChars="0"/>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lang w:val="en-US" w:eastAsia="zh-CN"/>
        </w:rPr>
        <w:t>怎么实现：</w:t>
      </w:r>
      <w:r>
        <w:rPr>
          <w:rFonts w:hint="eastAsia" w:ascii="宋体" w:hAnsi="宋体" w:eastAsia="宋体" w:cs="宋体"/>
          <w:i w:val="0"/>
          <w:iCs w:val="0"/>
          <w:caps w:val="0"/>
          <w:color w:val="333333"/>
          <w:spacing w:val="0"/>
          <w:sz w:val="24"/>
          <w:szCs w:val="24"/>
          <w:shd w:val="clear" w:fill="FFFFFF"/>
        </w:rPr>
        <w:t>加快建设国家电力市场。完善电力交易平台运营管理和跨省跨区市场交易机制。</w:t>
      </w:r>
    </w:p>
    <w:p w14:paraId="25670D5C">
      <w:pPr>
        <w:numPr>
          <w:ilvl w:val="0"/>
          <w:numId w:val="0"/>
        </w:numPr>
        <w:ind w:leftChars="0"/>
        <w:rPr>
          <w:rFonts w:hint="eastAsia" w:ascii="宋体" w:hAnsi="宋体" w:eastAsia="宋体" w:cs="宋体"/>
          <w:i w:val="0"/>
          <w:iCs w:val="0"/>
          <w:caps w:val="0"/>
          <w:color w:val="333333"/>
          <w:spacing w:val="0"/>
          <w:sz w:val="24"/>
          <w:szCs w:val="24"/>
          <w:shd w:val="clear" w:fill="FFFFFF"/>
        </w:rPr>
      </w:pPr>
    </w:p>
    <w:p w14:paraId="29C579AE">
      <w:pPr>
        <w:numPr>
          <w:ilvl w:val="0"/>
          <w:numId w:val="0"/>
        </w:numPr>
        <w:ind w:leftChars="0"/>
        <w:rPr>
          <w:rFonts w:hint="eastAsia" w:ascii="宋体" w:hAnsi="宋体" w:eastAsia="宋体" w:cs="宋体"/>
          <w:i w:val="0"/>
          <w:iCs w:val="0"/>
          <w:caps w:val="0"/>
          <w:color w:val="333333"/>
          <w:spacing w:val="0"/>
          <w:sz w:val="24"/>
          <w:szCs w:val="24"/>
          <w:shd w:val="clear" w:fill="FFFFFF"/>
        </w:rPr>
      </w:pPr>
    </w:p>
    <w:p w14:paraId="6DEA422C">
      <w:pPr>
        <w:numPr>
          <w:ilvl w:val="0"/>
          <w:numId w:val="0"/>
        </w:numPr>
        <w:ind w:leftChars="0"/>
        <w:rPr>
          <w:rFonts w:hint="eastAsia" w:ascii="宋体" w:hAnsi="宋体" w:eastAsia="宋体" w:cs="宋体"/>
          <w:i w:val="0"/>
          <w:iCs w:val="0"/>
          <w:caps w:val="0"/>
          <w:color w:val="333333"/>
          <w:spacing w:val="0"/>
          <w:sz w:val="24"/>
          <w:szCs w:val="24"/>
          <w:shd w:val="clear" w:fill="FFFFFF"/>
        </w:rPr>
      </w:pPr>
    </w:p>
    <w:p w14:paraId="2F8A8C77">
      <w:pPr>
        <w:numPr>
          <w:ilvl w:val="0"/>
          <w:numId w:val="0"/>
        </w:numPr>
        <w:ind w:leftChars="0"/>
        <w:rPr>
          <w:rFonts w:hint="default"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问题：1.为什么是北京和广州两个交易中心发挥作用？跨电网区域进行共济有什么条件？</w:t>
      </w:r>
    </w:p>
    <w:p w14:paraId="0C4CD7B7">
      <w:pPr>
        <w:numPr>
          <w:ilvl w:val="0"/>
          <w:numId w:val="0"/>
        </w:numPr>
        <w:ind w:leftChars="0"/>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2.</w:t>
      </w:r>
      <w:bookmarkStart w:id="1" w:name="OLE_LINK4"/>
      <w:r>
        <w:rPr>
          <w:rFonts w:hint="eastAsia" w:ascii="宋体" w:hAnsi="宋体" w:eastAsia="宋体" w:cs="宋体"/>
          <w:i w:val="0"/>
          <w:iCs w:val="0"/>
          <w:caps w:val="0"/>
          <w:color w:val="333333"/>
          <w:spacing w:val="0"/>
          <w:sz w:val="24"/>
          <w:szCs w:val="24"/>
          <w:shd w:val="clear" w:fill="FFFFFF"/>
          <w:lang w:val="en-US" w:eastAsia="zh-CN"/>
        </w:rPr>
        <w:t>什么叫</w:t>
      </w:r>
      <w:r>
        <w:rPr>
          <w:rFonts w:hint="eastAsia" w:ascii="宋体" w:hAnsi="宋体" w:eastAsia="宋体" w:cs="宋体"/>
          <w:i w:val="0"/>
          <w:iCs w:val="0"/>
          <w:caps w:val="0"/>
          <w:color w:val="333333"/>
          <w:spacing w:val="0"/>
          <w:sz w:val="24"/>
          <w:szCs w:val="24"/>
          <w:shd w:val="clear" w:fill="FFFFFF"/>
        </w:rPr>
        <w:t>先增量、后存量原则，分类放开跨省跨区优先发电计划</w:t>
      </w:r>
      <w:r>
        <w:rPr>
          <w:rFonts w:hint="eastAsia" w:ascii="宋体" w:hAnsi="宋体" w:eastAsia="宋体" w:cs="宋体"/>
          <w:i w:val="0"/>
          <w:iCs w:val="0"/>
          <w:caps w:val="0"/>
          <w:color w:val="333333"/>
          <w:spacing w:val="0"/>
          <w:sz w:val="24"/>
          <w:szCs w:val="24"/>
          <w:shd w:val="clear" w:fill="FFFFFF"/>
          <w:lang w:eastAsia="zh-CN"/>
        </w:rPr>
        <w:t>？</w:t>
      </w:r>
    </w:p>
    <w:bookmarkEnd w:id="1"/>
    <w:p w14:paraId="1952FDEF">
      <w:pPr>
        <w:keepNext w:val="0"/>
        <w:keepLines w:val="0"/>
        <w:widowControl/>
        <w:suppressLineNumbers w:val="0"/>
        <w:jc w:val="left"/>
        <w:rPr>
          <w:rFonts w:hint="default"/>
          <w:lang w:val="en-US"/>
        </w:rPr>
      </w:pPr>
      <w:r>
        <w:rPr>
          <w:rFonts w:hint="eastAsia" w:ascii="宋体" w:hAnsi="宋体" w:eastAsia="宋体" w:cs="宋体"/>
          <w:i w:val="0"/>
          <w:iCs w:val="0"/>
          <w:caps w:val="0"/>
          <w:color w:val="333333"/>
          <w:spacing w:val="0"/>
          <w:sz w:val="24"/>
          <w:szCs w:val="24"/>
          <w:shd w:val="clear" w:fill="FFFFFF"/>
          <w:lang w:val="en-US" w:eastAsia="zh-CN"/>
        </w:rPr>
        <w:t>3.</w:t>
      </w:r>
      <w:r>
        <w:rPr>
          <w:rFonts w:ascii="宋体" w:hAnsi="宋体" w:eastAsia="宋体" w:cs="宋体"/>
          <w:kern w:val="0"/>
          <w:sz w:val="24"/>
          <w:szCs w:val="24"/>
          <w:lang w:val="en-US" w:eastAsia="zh-CN" w:bidi="ar"/>
        </w:rPr>
        <w:t>引导用户削峰填谷 是中长期交易的目的吗？</w:t>
      </w:r>
      <w:r>
        <w:rPr>
          <w:rFonts w:hint="eastAsia" w:ascii="宋体" w:hAnsi="宋体" w:eastAsia="宋体" w:cs="宋体"/>
          <w:kern w:val="0"/>
          <w:sz w:val="24"/>
          <w:szCs w:val="24"/>
          <w:lang w:val="en-US" w:eastAsia="zh-CN" w:bidi="ar"/>
        </w:rPr>
        <w:t>电力交易的本质和底层逻辑到底是什么？</w:t>
      </w:r>
    </w:p>
    <w:p w14:paraId="0416D9E5">
      <w:pPr>
        <w:numPr>
          <w:ilvl w:val="0"/>
          <w:numId w:val="0"/>
        </w:numPr>
        <w:ind w:leftChars="0"/>
        <w:rPr>
          <w:rFonts w:hint="default"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4.</w:t>
      </w:r>
      <w:r>
        <w:rPr>
          <w:rFonts w:hint="eastAsia" w:ascii="宋体" w:hAnsi="宋体" w:eastAsia="宋体" w:cs="宋体"/>
          <w:i w:val="0"/>
          <w:iCs w:val="0"/>
          <w:caps w:val="0"/>
          <w:color w:val="333333"/>
          <w:spacing w:val="0"/>
          <w:sz w:val="24"/>
          <w:szCs w:val="24"/>
          <w:shd w:val="clear" w:fill="FFFFFF"/>
        </w:rPr>
        <w:t>多能互补协调运营</w:t>
      </w:r>
      <w:r>
        <w:rPr>
          <w:rFonts w:hint="eastAsia" w:ascii="宋体" w:hAnsi="宋体" w:eastAsia="宋体" w:cs="宋体"/>
          <w:i w:val="0"/>
          <w:iCs w:val="0"/>
          <w:caps w:val="0"/>
          <w:color w:val="333333"/>
          <w:spacing w:val="0"/>
          <w:sz w:val="24"/>
          <w:szCs w:val="24"/>
          <w:shd w:val="clear" w:fill="FFFFFF"/>
          <w:lang w:val="en-US" w:eastAsia="zh-CN"/>
        </w:rPr>
        <w:t>指什么模式？</w:t>
      </w:r>
    </w:p>
    <w:p w14:paraId="023EEAB5">
      <w:pPr>
        <w:numPr>
          <w:ilvl w:val="0"/>
          <w:numId w:val="0"/>
        </w:numPr>
        <w:ind w:leftChars="0"/>
        <w:rPr>
          <w:rFonts w:hint="default"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5.鼓励售电公司创新商业模式，提供综合能源管理、负荷集成等增值服务，负荷集成是什么样的增值服务？</w:t>
      </w:r>
    </w:p>
    <w:p w14:paraId="35E4D8E8">
      <w:pPr>
        <w:numPr>
          <w:ilvl w:val="0"/>
          <w:numId w:val="0"/>
        </w:numPr>
        <w:ind w:leftChars="0"/>
        <w:rPr>
          <w:rFonts w:hint="default"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6.改革完善煤电价格市场化形成机制具体是怎么做？</w:t>
      </w:r>
    </w:p>
    <w:p w14:paraId="6CD23B1C">
      <w:pPr>
        <w:numPr>
          <w:ilvl w:val="0"/>
          <w:numId w:val="0"/>
        </w:numPr>
        <w:ind w:leftChars="0"/>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7.</w:t>
      </w:r>
      <w:r>
        <w:rPr>
          <w:rFonts w:hint="eastAsia" w:ascii="宋体" w:hAnsi="宋体" w:eastAsia="宋体" w:cs="宋体"/>
          <w:i w:val="0"/>
          <w:iCs w:val="0"/>
          <w:caps w:val="0"/>
          <w:color w:val="333333"/>
          <w:spacing w:val="0"/>
          <w:sz w:val="24"/>
          <w:szCs w:val="24"/>
          <w:shd w:val="clear" w:fill="FFFFFF"/>
        </w:rPr>
        <w:t>通过容量成本回收机制、辅助服务市场等实现合理经济补偿</w:t>
      </w:r>
      <w:r>
        <w:rPr>
          <w:rFonts w:hint="eastAsia" w:ascii="宋体" w:hAnsi="宋体" w:eastAsia="宋体" w:cs="宋体"/>
          <w:i w:val="0"/>
          <w:iCs w:val="0"/>
          <w:caps w:val="0"/>
          <w:color w:val="333333"/>
          <w:spacing w:val="0"/>
          <w:sz w:val="24"/>
          <w:szCs w:val="24"/>
          <w:shd w:val="clear" w:fill="FFFFFF"/>
          <w:lang w:eastAsia="zh-CN"/>
        </w:rPr>
        <w:t>这个是未来的发展方向吗？</w:t>
      </w:r>
    </w:p>
    <w:p w14:paraId="65A50BB7">
      <w:pPr>
        <w:numPr>
          <w:ilvl w:val="0"/>
          <w:numId w:val="0"/>
        </w:numPr>
        <w:ind w:leftChars="0"/>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lang w:val="en-US" w:eastAsia="zh-CN"/>
        </w:rPr>
        <w:t>8.为什么要</w:t>
      </w:r>
      <w:r>
        <w:rPr>
          <w:rFonts w:hint="eastAsia" w:ascii="宋体" w:hAnsi="宋体" w:eastAsia="宋体" w:cs="宋体"/>
          <w:i w:val="0"/>
          <w:iCs w:val="0"/>
          <w:caps w:val="0"/>
          <w:color w:val="333333"/>
          <w:spacing w:val="0"/>
          <w:sz w:val="24"/>
          <w:szCs w:val="24"/>
          <w:shd w:val="clear" w:fill="FFFFFF"/>
        </w:rPr>
        <w:t>鼓励新能源报量报价参与现货市场，对报价未中标电量不纳入弃风弃光电量考核。</w:t>
      </w:r>
    </w:p>
    <w:p w14:paraId="43BC5726">
      <w:pPr>
        <w:keepNext w:val="0"/>
        <w:keepLines w:val="0"/>
        <w:widowControl/>
        <w:suppressLineNumbers w:val="0"/>
        <w:jc w:val="left"/>
      </w:pPr>
      <w:r>
        <w:rPr>
          <w:rFonts w:hint="eastAsia" w:ascii="宋体" w:hAnsi="宋体" w:eastAsia="宋体" w:cs="宋体"/>
          <w:i w:val="0"/>
          <w:iCs w:val="0"/>
          <w:caps w:val="0"/>
          <w:color w:val="333333"/>
          <w:spacing w:val="0"/>
          <w:sz w:val="24"/>
          <w:szCs w:val="24"/>
          <w:shd w:val="clear" w:fill="FFFFFF"/>
          <w:lang w:val="en-US" w:eastAsia="zh-CN"/>
        </w:rPr>
        <w:t>9.</w:t>
      </w:r>
      <w:r>
        <w:rPr>
          <w:rFonts w:ascii="宋体" w:hAnsi="宋体" w:eastAsia="宋体" w:cs="宋体"/>
          <w:kern w:val="0"/>
          <w:sz w:val="24"/>
          <w:szCs w:val="24"/>
          <w:lang w:val="en-US" w:eastAsia="zh-CN" w:bidi="ar"/>
        </w:rPr>
        <w:t>完善微电网、存量小电网、增量配电网与大电网间的交易结算、运行调度等机制，从这句话能体现出未来的格局是什么样？</w:t>
      </w:r>
    </w:p>
    <w:p w14:paraId="1272355B">
      <w:pPr>
        <w:numPr>
          <w:ilvl w:val="0"/>
          <w:numId w:val="0"/>
        </w:numPr>
        <w:ind w:leftChars="0"/>
        <w:rPr>
          <w:rFonts w:hint="default" w:ascii="宋体" w:hAnsi="宋体" w:eastAsia="宋体" w:cs="宋体"/>
          <w:i w:val="0"/>
          <w:iCs w:val="0"/>
          <w:caps w:val="0"/>
          <w:color w:val="333333"/>
          <w:spacing w:val="0"/>
          <w:sz w:val="24"/>
          <w:szCs w:val="24"/>
          <w:shd w:val="clear" w:fill="FFFFFF"/>
          <w:lang w:val="en-US" w:eastAsia="zh-CN"/>
        </w:rPr>
      </w:pPr>
    </w:p>
    <w:p w14:paraId="06764624">
      <w:pPr>
        <w:numPr>
          <w:ilvl w:val="0"/>
          <w:numId w:val="0"/>
        </w:numPr>
        <w:ind w:leftChars="0"/>
        <w:rPr>
          <w:rFonts w:hint="default" w:ascii="宋体" w:hAnsi="宋体" w:eastAsia="宋体" w:cs="宋体"/>
          <w:i w:val="0"/>
          <w:iCs w:val="0"/>
          <w:caps w:val="0"/>
          <w:color w:val="333333"/>
          <w:spacing w:val="0"/>
          <w:sz w:val="24"/>
          <w:szCs w:val="24"/>
          <w:shd w:val="clear" w:fill="FFFFFF"/>
          <w:lang w:val="en-US" w:eastAsia="zh-CN"/>
        </w:rPr>
      </w:pPr>
    </w:p>
    <w:p w14:paraId="424A9D92">
      <w:pPr>
        <w:numPr>
          <w:ilvl w:val="0"/>
          <w:numId w:val="0"/>
        </w:numPr>
        <w:ind w:leftChars="0"/>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回答1.七大区域交易中心南方电网、</w:t>
      </w:r>
      <w:bookmarkStart w:id="2" w:name="OLE_LINK2"/>
      <w:r>
        <w:rPr>
          <w:rFonts w:hint="eastAsia" w:ascii="宋体" w:hAnsi="宋体" w:eastAsia="宋体" w:cs="宋体"/>
          <w:i w:val="0"/>
          <w:iCs w:val="0"/>
          <w:caps w:val="0"/>
          <w:color w:val="333333"/>
          <w:spacing w:val="0"/>
          <w:sz w:val="24"/>
          <w:szCs w:val="24"/>
          <w:shd w:val="clear" w:fill="FFFFFF"/>
          <w:lang w:val="en-US" w:eastAsia="zh-CN"/>
        </w:rPr>
        <w:t>华东、</w:t>
      </w:r>
      <w:r>
        <w:rPr>
          <w:rFonts w:ascii="宋体" w:hAnsi="宋体" w:eastAsia="宋体" w:cs="宋体"/>
          <w:sz w:val="24"/>
          <w:szCs w:val="24"/>
        </w:rPr>
        <w:t>华北</w:t>
      </w:r>
      <w:r>
        <w:rPr>
          <w:rFonts w:hint="eastAsia" w:ascii="宋体" w:hAnsi="宋体" w:eastAsia="宋体" w:cs="宋体"/>
          <w:sz w:val="24"/>
          <w:szCs w:val="24"/>
          <w:lang w:eastAsia="zh-CN"/>
        </w:rPr>
        <w:t>、</w:t>
      </w:r>
      <w:r>
        <w:rPr>
          <w:rFonts w:ascii="宋体" w:hAnsi="宋体" w:eastAsia="宋体" w:cs="宋体"/>
          <w:sz w:val="24"/>
          <w:szCs w:val="24"/>
        </w:rPr>
        <w:t>华北</w:t>
      </w:r>
      <w:r>
        <w:rPr>
          <w:rFonts w:hint="eastAsia" w:ascii="宋体" w:hAnsi="宋体" w:eastAsia="宋体" w:cs="宋体"/>
          <w:sz w:val="24"/>
          <w:szCs w:val="24"/>
          <w:lang w:eastAsia="zh-CN"/>
        </w:rPr>
        <w:t>、</w:t>
      </w:r>
      <w:r>
        <w:rPr>
          <w:rFonts w:ascii="宋体" w:hAnsi="宋体" w:eastAsia="宋体" w:cs="宋体"/>
          <w:sz w:val="24"/>
          <w:szCs w:val="24"/>
        </w:rPr>
        <w:t>华</w:t>
      </w:r>
      <w:r>
        <w:rPr>
          <w:rFonts w:hint="eastAsia" w:ascii="宋体" w:hAnsi="宋体" w:eastAsia="宋体" w:cs="宋体"/>
          <w:sz w:val="24"/>
          <w:szCs w:val="24"/>
          <w:lang w:val="en-US" w:eastAsia="zh-CN"/>
        </w:rPr>
        <w:t>中、</w:t>
      </w:r>
      <w:r>
        <w:rPr>
          <w:rFonts w:ascii="宋体" w:hAnsi="宋体" w:eastAsia="宋体" w:cs="宋体"/>
          <w:sz w:val="24"/>
          <w:szCs w:val="24"/>
        </w:rPr>
        <w:t>西北</w:t>
      </w:r>
      <w:r>
        <w:rPr>
          <w:rFonts w:hint="eastAsia" w:ascii="宋体" w:hAnsi="宋体" w:eastAsia="宋体" w:cs="宋体"/>
          <w:sz w:val="24"/>
          <w:szCs w:val="24"/>
          <w:lang w:eastAsia="zh-CN"/>
        </w:rPr>
        <w:t>、</w:t>
      </w:r>
      <w:r>
        <w:rPr>
          <w:rFonts w:ascii="宋体" w:hAnsi="宋体" w:eastAsia="宋体" w:cs="宋体"/>
          <w:sz w:val="24"/>
          <w:szCs w:val="24"/>
        </w:rPr>
        <w:t>东北</w:t>
      </w:r>
      <w:r>
        <w:rPr>
          <w:rFonts w:hint="eastAsia" w:ascii="宋体" w:hAnsi="宋体" w:eastAsia="宋体" w:cs="宋体"/>
          <w:sz w:val="24"/>
          <w:szCs w:val="24"/>
          <w:lang w:eastAsia="zh-CN"/>
        </w:rPr>
        <w:t>、</w:t>
      </w:r>
      <w:r>
        <w:rPr>
          <w:rFonts w:ascii="宋体" w:hAnsi="宋体" w:eastAsia="宋体" w:cs="宋体"/>
          <w:sz w:val="24"/>
          <w:szCs w:val="24"/>
        </w:rPr>
        <w:t>西南</w:t>
      </w:r>
      <w:bookmarkEnd w:id="2"/>
    </w:p>
    <w:p w14:paraId="10CF9EDE">
      <w:pPr>
        <w:numPr>
          <w:ilvl w:val="0"/>
          <w:numId w:val="0"/>
        </w:numPr>
        <w:ind w:leftChars="0"/>
        <w:rPr>
          <w:rFonts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lang w:val="en-US" w:eastAsia="zh-CN"/>
        </w:rPr>
        <w:t xml:space="preserve">国家电网旗下：包括六个 </w:t>
      </w:r>
      <w:bookmarkStart w:id="3" w:name="OLE_LINK3"/>
      <w:r>
        <w:rPr>
          <w:rFonts w:hint="eastAsia" w:ascii="宋体" w:hAnsi="宋体" w:eastAsia="宋体" w:cs="宋体"/>
          <w:i w:val="0"/>
          <w:iCs w:val="0"/>
          <w:caps w:val="0"/>
          <w:color w:val="333333"/>
          <w:spacing w:val="0"/>
          <w:sz w:val="24"/>
          <w:szCs w:val="24"/>
          <w:shd w:val="clear" w:fill="FFFFFF"/>
          <w:lang w:val="en-US" w:eastAsia="zh-CN"/>
        </w:rPr>
        <w:t>华东、</w:t>
      </w:r>
      <w:r>
        <w:rPr>
          <w:rFonts w:ascii="宋体" w:hAnsi="宋体" w:eastAsia="宋体" w:cs="宋体"/>
          <w:sz w:val="24"/>
          <w:szCs w:val="24"/>
        </w:rPr>
        <w:t>华北</w:t>
      </w:r>
      <w:r>
        <w:rPr>
          <w:rFonts w:hint="eastAsia" w:ascii="宋体" w:hAnsi="宋体" w:eastAsia="宋体" w:cs="宋体"/>
          <w:sz w:val="24"/>
          <w:szCs w:val="24"/>
          <w:lang w:eastAsia="zh-CN"/>
        </w:rPr>
        <w:t>、</w:t>
      </w:r>
      <w:r>
        <w:rPr>
          <w:rFonts w:ascii="宋体" w:hAnsi="宋体" w:eastAsia="宋体" w:cs="宋体"/>
          <w:sz w:val="24"/>
          <w:szCs w:val="24"/>
        </w:rPr>
        <w:t>华北</w:t>
      </w:r>
      <w:r>
        <w:rPr>
          <w:rFonts w:hint="eastAsia" w:ascii="宋体" w:hAnsi="宋体" w:eastAsia="宋体" w:cs="宋体"/>
          <w:sz w:val="24"/>
          <w:szCs w:val="24"/>
          <w:lang w:eastAsia="zh-CN"/>
        </w:rPr>
        <w:t>、</w:t>
      </w:r>
      <w:r>
        <w:rPr>
          <w:rFonts w:ascii="宋体" w:hAnsi="宋体" w:eastAsia="宋体" w:cs="宋体"/>
          <w:sz w:val="24"/>
          <w:szCs w:val="24"/>
        </w:rPr>
        <w:t>华</w:t>
      </w:r>
      <w:r>
        <w:rPr>
          <w:rFonts w:hint="eastAsia" w:ascii="宋体" w:hAnsi="宋体" w:eastAsia="宋体" w:cs="宋体"/>
          <w:sz w:val="24"/>
          <w:szCs w:val="24"/>
          <w:lang w:val="en-US" w:eastAsia="zh-CN"/>
        </w:rPr>
        <w:t>中、</w:t>
      </w:r>
      <w:r>
        <w:rPr>
          <w:rFonts w:ascii="宋体" w:hAnsi="宋体" w:eastAsia="宋体" w:cs="宋体"/>
          <w:sz w:val="24"/>
          <w:szCs w:val="24"/>
        </w:rPr>
        <w:t>西北</w:t>
      </w:r>
      <w:r>
        <w:rPr>
          <w:rFonts w:hint="eastAsia" w:ascii="宋体" w:hAnsi="宋体" w:eastAsia="宋体" w:cs="宋体"/>
          <w:sz w:val="24"/>
          <w:szCs w:val="24"/>
          <w:lang w:eastAsia="zh-CN"/>
        </w:rPr>
        <w:t>、</w:t>
      </w:r>
      <w:r>
        <w:rPr>
          <w:rFonts w:ascii="宋体" w:hAnsi="宋体" w:eastAsia="宋体" w:cs="宋体"/>
          <w:sz w:val="24"/>
          <w:szCs w:val="24"/>
        </w:rPr>
        <w:t>东北</w:t>
      </w:r>
      <w:r>
        <w:rPr>
          <w:rFonts w:hint="eastAsia" w:ascii="宋体" w:hAnsi="宋体" w:eastAsia="宋体" w:cs="宋体"/>
          <w:sz w:val="24"/>
          <w:szCs w:val="24"/>
          <w:lang w:eastAsia="zh-CN"/>
        </w:rPr>
        <w:t>、</w:t>
      </w:r>
      <w:r>
        <w:rPr>
          <w:rFonts w:ascii="宋体" w:hAnsi="宋体" w:eastAsia="宋体" w:cs="宋体"/>
          <w:sz w:val="24"/>
          <w:szCs w:val="24"/>
        </w:rPr>
        <w:t>西南</w:t>
      </w:r>
      <w:bookmarkEnd w:id="3"/>
    </w:p>
    <w:p w14:paraId="7BDB4B5E">
      <w:pPr>
        <w:numPr>
          <w:ilvl w:val="0"/>
          <w:numId w:val="0"/>
        </w:numPr>
        <w:ind w:leftChars="0"/>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华东：</w:t>
      </w:r>
      <w:r>
        <w:rPr>
          <w:rFonts w:ascii="宋体" w:hAnsi="宋体" w:eastAsia="宋体" w:cs="宋体"/>
          <w:sz w:val="24"/>
          <w:szCs w:val="24"/>
        </w:rPr>
        <w:t>上海、江苏、浙江、安徽、福建、山东</w:t>
      </w:r>
    </w:p>
    <w:p w14:paraId="2CF216CE">
      <w:pPr>
        <w:numPr>
          <w:ilvl w:val="0"/>
          <w:numId w:val="0"/>
        </w:numPr>
        <w:ind w:leftChars="0"/>
        <w:rPr>
          <w:rFonts w:hint="eastAsia" w:ascii="宋体" w:hAnsi="宋体" w:eastAsia="宋体" w:cs="宋体"/>
          <w:sz w:val="24"/>
          <w:szCs w:val="24"/>
          <w:lang w:eastAsia="zh-CN"/>
        </w:rPr>
      </w:pPr>
      <w:r>
        <w:rPr>
          <w:rFonts w:ascii="宋体" w:hAnsi="宋体" w:eastAsia="宋体" w:cs="宋体"/>
          <w:sz w:val="24"/>
          <w:szCs w:val="24"/>
        </w:rPr>
        <w:t>华北</w:t>
      </w:r>
      <w:r>
        <w:rPr>
          <w:rFonts w:hint="eastAsia" w:ascii="宋体" w:hAnsi="宋体" w:eastAsia="宋体" w:cs="宋体"/>
          <w:sz w:val="24"/>
          <w:szCs w:val="24"/>
          <w:lang w:eastAsia="zh-CN"/>
        </w:rPr>
        <w:t>：</w:t>
      </w:r>
      <w:r>
        <w:rPr>
          <w:rFonts w:ascii="宋体" w:hAnsi="宋体" w:eastAsia="宋体" w:cs="宋体"/>
          <w:sz w:val="24"/>
          <w:szCs w:val="24"/>
        </w:rPr>
        <w:t>北京、天津、河北、山西、山东、内蒙古西部</w:t>
      </w:r>
    </w:p>
    <w:p w14:paraId="18B18470">
      <w:pPr>
        <w:numPr>
          <w:ilvl w:val="0"/>
          <w:numId w:val="0"/>
        </w:numPr>
        <w:ind w:leftChars="0"/>
        <w:rPr>
          <w:rFonts w:hint="eastAsia" w:ascii="宋体" w:hAnsi="宋体" w:eastAsia="宋体" w:cs="宋体"/>
          <w:sz w:val="24"/>
          <w:szCs w:val="24"/>
          <w:lang w:val="en-US" w:eastAsia="zh-CN"/>
        </w:rPr>
      </w:pPr>
      <w:r>
        <w:rPr>
          <w:rFonts w:ascii="宋体" w:hAnsi="宋体" w:eastAsia="宋体" w:cs="宋体"/>
          <w:sz w:val="24"/>
          <w:szCs w:val="24"/>
        </w:rPr>
        <w:t>华</w:t>
      </w:r>
      <w:r>
        <w:rPr>
          <w:rFonts w:hint="eastAsia" w:ascii="宋体" w:hAnsi="宋体" w:eastAsia="宋体" w:cs="宋体"/>
          <w:sz w:val="24"/>
          <w:szCs w:val="24"/>
          <w:lang w:val="en-US" w:eastAsia="zh-CN"/>
        </w:rPr>
        <w:t>中：</w:t>
      </w:r>
      <w:r>
        <w:rPr>
          <w:rFonts w:ascii="宋体" w:hAnsi="宋体" w:eastAsia="宋体" w:cs="宋体"/>
          <w:sz w:val="24"/>
          <w:szCs w:val="24"/>
        </w:rPr>
        <w:t>湖北、湖南、河南、江西、四川、重庆</w:t>
      </w:r>
    </w:p>
    <w:p w14:paraId="1390FAD8">
      <w:pPr>
        <w:numPr>
          <w:ilvl w:val="0"/>
          <w:numId w:val="0"/>
        </w:numPr>
        <w:ind w:leftChars="0"/>
        <w:rPr>
          <w:rFonts w:hint="eastAsia" w:ascii="宋体" w:hAnsi="宋体" w:eastAsia="宋体" w:cs="宋体"/>
          <w:sz w:val="24"/>
          <w:szCs w:val="24"/>
          <w:lang w:eastAsia="zh-CN"/>
        </w:rPr>
      </w:pPr>
      <w:r>
        <w:rPr>
          <w:rFonts w:ascii="宋体" w:hAnsi="宋体" w:eastAsia="宋体" w:cs="宋体"/>
          <w:sz w:val="24"/>
          <w:szCs w:val="24"/>
        </w:rPr>
        <w:t>西北</w:t>
      </w:r>
      <w:r>
        <w:rPr>
          <w:rFonts w:hint="eastAsia" w:ascii="宋体" w:hAnsi="宋体" w:eastAsia="宋体" w:cs="宋体"/>
          <w:sz w:val="24"/>
          <w:szCs w:val="24"/>
          <w:lang w:eastAsia="zh-CN"/>
        </w:rPr>
        <w:t>：</w:t>
      </w:r>
      <w:r>
        <w:rPr>
          <w:rFonts w:ascii="宋体" w:hAnsi="宋体" w:eastAsia="宋体" w:cs="宋体"/>
          <w:sz w:val="24"/>
          <w:szCs w:val="24"/>
        </w:rPr>
        <w:t>陕西、甘肃、青海、宁夏、新疆</w:t>
      </w:r>
    </w:p>
    <w:p w14:paraId="6E50CE0A">
      <w:pPr>
        <w:numPr>
          <w:ilvl w:val="0"/>
          <w:numId w:val="0"/>
        </w:numPr>
        <w:ind w:leftChars="0"/>
        <w:rPr>
          <w:rFonts w:hint="eastAsia" w:ascii="宋体" w:hAnsi="宋体" w:eastAsia="宋体" w:cs="宋体"/>
          <w:sz w:val="24"/>
          <w:szCs w:val="24"/>
          <w:lang w:eastAsia="zh-CN"/>
        </w:rPr>
      </w:pPr>
      <w:r>
        <w:rPr>
          <w:rFonts w:ascii="宋体" w:hAnsi="宋体" w:eastAsia="宋体" w:cs="宋体"/>
          <w:sz w:val="24"/>
          <w:szCs w:val="24"/>
        </w:rPr>
        <w:t>东北</w:t>
      </w:r>
      <w:r>
        <w:rPr>
          <w:rFonts w:hint="eastAsia" w:ascii="宋体" w:hAnsi="宋体" w:eastAsia="宋体" w:cs="宋体"/>
          <w:sz w:val="24"/>
          <w:szCs w:val="24"/>
          <w:lang w:eastAsia="zh-CN"/>
        </w:rPr>
        <w:t>：</w:t>
      </w:r>
      <w:r>
        <w:rPr>
          <w:rFonts w:ascii="宋体" w:hAnsi="宋体" w:eastAsia="宋体" w:cs="宋体"/>
          <w:sz w:val="24"/>
          <w:szCs w:val="24"/>
        </w:rPr>
        <w:t>辽宁、吉林、黑龙江、内蒙古东部</w:t>
      </w:r>
    </w:p>
    <w:p w14:paraId="2B72840D">
      <w:pPr>
        <w:numPr>
          <w:ilvl w:val="0"/>
          <w:numId w:val="0"/>
        </w:numPr>
        <w:ind w:leftChars="0"/>
        <w:rPr>
          <w:rFonts w:hint="eastAsia" w:ascii="宋体" w:hAnsi="宋体" w:eastAsia="宋体" w:cs="宋体"/>
          <w:sz w:val="24"/>
          <w:szCs w:val="24"/>
          <w:lang w:eastAsia="zh-CN"/>
        </w:rPr>
      </w:pPr>
      <w:r>
        <w:rPr>
          <w:rFonts w:ascii="宋体" w:hAnsi="宋体" w:eastAsia="宋体" w:cs="宋体"/>
          <w:sz w:val="24"/>
          <w:szCs w:val="24"/>
        </w:rPr>
        <w:t>西南</w:t>
      </w:r>
      <w:r>
        <w:rPr>
          <w:rFonts w:hint="eastAsia" w:ascii="宋体" w:hAnsi="宋体" w:eastAsia="宋体" w:cs="宋体"/>
          <w:sz w:val="24"/>
          <w:szCs w:val="24"/>
          <w:lang w:eastAsia="zh-CN"/>
        </w:rPr>
        <w:t>：</w:t>
      </w:r>
      <w:r>
        <w:rPr>
          <w:rFonts w:ascii="宋体" w:hAnsi="宋体" w:eastAsia="宋体" w:cs="宋体"/>
          <w:sz w:val="24"/>
          <w:szCs w:val="24"/>
        </w:rPr>
        <w:t>四川、重庆、云南、贵州、西藏</w:t>
      </w:r>
    </w:p>
    <w:p w14:paraId="7ACE3494">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南方电网旗下：包括一个 </w:t>
      </w:r>
      <w:r>
        <w:rPr>
          <w:rFonts w:ascii="宋体" w:hAnsi="宋体" w:eastAsia="宋体" w:cs="宋体"/>
          <w:sz w:val="24"/>
          <w:szCs w:val="24"/>
        </w:rPr>
        <w:t>南方电网区域交易中心</w:t>
      </w:r>
      <w:r>
        <w:rPr>
          <w:rFonts w:hint="eastAsia" w:ascii="宋体" w:hAnsi="宋体" w:eastAsia="宋体" w:cs="宋体"/>
          <w:sz w:val="24"/>
          <w:szCs w:val="24"/>
          <w:lang w:eastAsia="zh-CN"/>
        </w:rPr>
        <w:t>：</w:t>
      </w:r>
      <w:r>
        <w:rPr>
          <w:rFonts w:ascii="宋体" w:hAnsi="宋体" w:eastAsia="宋体" w:cs="宋体"/>
          <w:sz w:val="24"/>
          <w:szCs w:val="24"/>
        </w:rPr>
        <w:t>广东、广西、云南、贵州、海南</w:t>
      </w:r>
    </w:p>
    <w:p w14:paraId="0EC4CA4F">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现货正式运行8个省份：山西、广东、山东、甘肃、蒙西、湖北、浙江、省间</w:t>
      </w:r>
    </w:p>
    <w:p w14:paraId="6A126CFC">
      <w:pPr>
        <w:numPr>
          <w:ilvl w:val="0"/>
          <w:numId w:val="0"/>
        </w:numPr>
        <w:ind w:leftChars="0"/>
        <w:rPr>
          <w:rFonts w:hint="eastAsia" w:ascii="宋体" w:hAnsi="宋体" w:eastAsia="宋体" w:cs="宋体"/>
          <w:sz w:val="24"/>
          <w:szCs w:val="24"/>
          <w:lang w:val="en-US" w:eastAsia="zh-CN"/>
        </w:rPr>
      </w:pPr>
      <w:bookmarkStart w:id="4" w:name="OLE_LINK7"/>
      <w:r>
        <w:rPr>
          <w:rFonts w:hint="eastAsia" w:ascii="宋体" w:hAnsi="宋体" w:eastAsia="宋体" w:cs="宋体"/>
          <w:sz w:val="24"/>
          <w:szCs w:val="24"/>
          <w:lang w:val="en-US" w:eastAsia="zh-CN"/>
        </w:rPr>
        <w:t>连续结算试运行14个：陕西、安徽、河北南网、辽宁、黑龙江、江苏、吉林、福建、河南、宁夏、江西、新疆、四川、蒙东、湖南、上海、青海、重庆</w:t>
      </w:r>
    </w:p>
    <w:bookmarkEnd w:id="4"/>
    <w:p w14:paraId="468DEC98">
      <w:pPr>
        <w:numPr>
          <w:ilvl w:val="0"/>
          <w:numId w:val="0"/>
        </w:numPr>
        <w:ind w:leftChars="0"/>
        <w:rPr>
          <w:rFonts w:hint="default" w:ascii="宋体" w:hAnsi="宋体" w:eastAsia="宋体" w:cs="宋体"/>
          <w:sz w:val="24"/>
          <w:szCs w:val="24"/>
          <w:lang w:val="en-US" w:eastAsia="zh-CN"/>
        </w:rPr>
      </w:pPr>
    </w:p>
    <w:p w14:paraId="0B510D2E">
      <w:pPr>
        <w:numPr>
          <w:ilvl w:val="0"/>
          <w:numId w:val="0"/>
        </w:numPr>
        <w:ind w:leftChars="0"/>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1.1</w:t>
      </w:r>
      <w:r>
        <w:rPr>
          <w:rFonts w:hint="default" w:ascii="宋体" w:hAnsi="宋体" w:eastAsia="宋体" w:cs="宋体"/>
          <w:i w:val="0"/>
          <w:iCs w:val="0"/>
          <w:caps w:val="0"/>
          <w:color w:val="333333"/>
          <w:spacing w:val="0"/>
          <w:sz w:val="24"/>
          <w:szCs w:val="24"/>
          <w:shd w:val="clear" w:fill="FFFFFF"/>
          <w:lang w:val="en-US" w:eastAsia="zh-CN"/>
        </w:rPr>
        <w:t>非福建、广东两省之间的交易，使用闽粤联网输电价暂按每小时2.56 分/千瓦收取，网损折价暂按上一年综合线损率计算。输电费由合资公司收取后，各按 50%冲减福建、广东两省容量电费。</w:t>
      </w:r>
      <w:r>
        <w:rPr>
          <w:rFonts w:hint="eastAsia" w:ascii="宋体" w:hAnsi="宋体" w:eastAsia="宋体" w:cs="宋体"/>
          <w:i w:val="0"/>
          <w:iCs w:val="0"/>
          <w:caps w:val="0"/>
          <w:color w:val="333333"/>
          <w:spacing w:val="0"/>
          <w:sz w:val="24"/>
          <w:szCs w:val="24"/>
          <w:shd w:val="clear" w:fill="FFFFFF"/>
          <w:lang w:val="en-US" w:eastAsia="zh-CN"/>
        </w:rPr>
        <w:t>这句话什么意思？</w:t>
      </w:r>
    </w:p>
    <w:p w14:paraId="6165D1A6">
      <w:pPr>
        <w:numPr>
          <w:ilvl w:val="0"/>
          <w:numId w:val="0"/>
        </w:numPr>
        <w:ind w:leftChars="0"/>
        <w:rPr>
          <w:rFonts w:hint="default" w:ascii="宋体" w:hAnsi="宋体" w:eastAsia="宋体" w:cs="宋体"/>
          <w:i w:val="0"/>
          <w:iCs w:val="0"/>
          <w:caps w:val="0"/>
          <w:color w:val="333333"/>
          <w:spacing w:val="0"/>
          <w:sz w:val="24"/>
          <w:szCs w:val="24"/>
          <w:shd w:val="clear" w:fill="FFFFFF"/>
          <w:lang w:val="en-US" w:eastAsia="zh-CN"/>
        </w:rPr>
      </w:pPr>
    </w:p>
    <w:p w14:paraId="349078AD">
      <w:pPr>
        <w:numPr>
          <w:ilvl w:val="0"/>
          <w:numId w:val="0"/>
        </w:numPr>
        <w:ind w:leftChars="0"/>
        <w:rPr>
          <w:rFonts w:hint="default" w:ascii="宋体" w:hAnsi="宋体" w:eastAsia="宋体" w:cs="宋体"/>
          <w:i w:val="0"/>
          <w:iCs w:val="0"/>
          <w:caps w:val="0"/>
          <w:color w:val="333333"/>
          <w:spacing w:val="0"/>
          <w:sz w:val="24"/>
          <w:szCs w:val="24"/>
          <w:shd w:val="clear" w:fill="FFFFFF"/>
          <w:lang w:val="en-US" w:eastAsia="zh-CN"/>
        </w:rPr>
      </w:pPr>
      <w:r>
        <w:rPr>
          <w:rFonts w:hint="default" w:ascii="宋体" w:hAnsi="宋体" w:eastAsia="宋体" w:cs="宋体"/>
          <w:i w:val="0"/>
          <w:iCs w:val="0"/>
          <w:caps w:val="0"/>
          <w:color w:val="333333"/>
          <w:spacing w:val="0"/>
          <w:sz w:val="24"/>
          <w:szCs w:val="24"/>
          <w:shd w:val="clear" w:fill="FFFFFF"/>
          <w:lang w:val="en-US" w:eastAsia="zh-CN"/>
        </w:rPr>
        <w:t>当前我国绝大多数跨区跨省输电通道采用单一电量电价制，即通道上的每度电都要按照输电价格缴纳输电费，以回收输电通道成本。但是，闽粤直流采用单一容量电价制，即不再按照输送电量收取输电费，而是直接将每个月需要回收的输电通道成本作为容量电费，由福建、广东两省用户各按50%承担。“（跨经营区常态化交易）这种情况下，非福建、广东两省之间经过闽粤直流的交易就没有一个度电输电价格。但如果无偿使用通道，对福建、广东两省不公平。因此，《方案》规定了这类交易‘暂按每小时2.56分/千瓦收取’输电费，用于冲抵闽粤直流容量电费，即给予福建、广东两省用户补偿。这个价格是综合考虑输电通道成本和规划设计输送电量计算出来的。</w:t>
      </w:r>
    </w:p>
    <w:p w14:paraId="2DACE854">
      <w:pPr>
        <w:numPr>
          <w:ilvl w:val="0"/>
          <w:numId w:val="0"/>
        </w:numPr>
        <w:ind w:leftChars="0"/>
        <w:rPr>
          <w:rFonts w:hint="default" w:ascii="宋体" w:hAnsi="宋体" w:eastAsia="宋体" w:cs="宋体"/>
          <w:i w:val="0"/>
          <w:iCs w:val="0"/>
          <w:caps w:val="0"/>
          <w:color w:val="333333"/>
          <w:spacing w:val="0"/>
          <w:sz w:val="24"/>
          <w:szCs w:val="24"/>
          <w:shd w:val="clear" w:fill="FFFFFF"/>
          <w:lang w:val="en-US" w:eastAsia="zh-CN"/>
        </w:rPr>
      </w:pPr>
    </w:p>
    <w:p w14:paraId="75E071B1">
      <w:pPr>
        <w:numPr>
          <w:ilvl w:val="0"/>
          <w:numId w:val="2"/>
        </w:numPr>
        <w:ind w:leftChars="0"/>
        <w:rPr>
          <w:rFonts w:hint="default"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优先送电计划是地方政府制定的长期的外送计划，量和价格都是提前商量好的，例如福建送浙江现在每年计划送200亿度（存量），明年新增了50亿度送电能力。那200亿就还是按照原来的约定价结算，新增量按照竞价结果决定量和价。按照电源分类来放开外送计划，煤电最先放开，热电联产跟随，水电、新能源依据各省条件逐步推进。</w:t>
      </w:r>
    </w:p>
    <w:p w14:paraId="58E9F936">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2.1</w:t>
      </w:r>
      <w:r>
        <w:rPr>
          <w:rFonts w:ascii="宋体" w:hAnsi="宋体" w:eastAsia="宋体" w:cs="宋体"/>
          <w:kern w:val="0"/>
          <w:sz w:val="24"/>
          <w:szCs w:val="24"/>
          <w:lang w:val="en-US" w:eastAsia="zh-CN" w:bidi="ar"/>
        </w:rPr>
        <w:t>为什么对于核电外送如此谨慎，他和其他类型的机组有什么本质的区别</w:t>
      </w:r>
      <w:r>
        <w:rPr>
          <w:rFonts w:hint="eastAsia" w:ascii="宋体" w:hAnsi="宋体" w:eastAsia="宋体" w:cs="宋体"/>
          <w:kern w:val="0"/>
          <w:sz w:val="24"/>
          <w:szCs w:val="24"/>
          <w:lang w:val="en-US" w:eastAsia="zh-CN" w:bidi="ar"/>
        </w:rPr>
        <w:t>？</w:t>
      </w:r>
    </w:p>
    <w:p w14:paraId="19358B6B">
      <w:pPr>
        <w:keepNext w:val="0"/>
        <w:keepLines w:val="0"/>
        <w:widowControl/>
        <w:suppressLineNumbers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核电无法参与外送的主要原因是出力的刚性，核电基荷出力导致核电出力不能随意调功率，安全约束导致随意变工况会导致安全事件概率增加。核电以固定成本为主，机组投建成本极高，燃料成本反而占小头，所以核电必须有高利用小时数来收回成本，假如参与现货调节，那核电为了保证自己优先被消纳，在现货市场上的竞价策略肯定是永远报0，发电才能收回成本，扰乱价格信号。那受端省份在供大于求的情况下，就会加剧弃风弃光，挤占新能源空间。</w:t>
      </w:r>
    </w:p>
    <w:p w14:paraId="13562E64">
      <w:pPr>
        <w:numPr>
          <w:ilvl w:val="0"/>
          <w:numId w:val="0"/>
        </w:numPr>
        <w:rPr>
          <w:rFonts w:hint="default" w:ascii="宋体" w:hAnsi="宋体" w:eastAsia="宋体" w:cs="宋体"/>
          <w:i w:val="0"/>
          <w:iCs w:val="0"/>
          <w:caps w:val="0"/>
          <w:color w:val="333333"/>
          <w:spacing w:val="0"/>
          <w:sz w:val="24"/>
          <w:szCs w:val="24"/>
          <w:shd w:val="clear" w:fill="FFFFFF"/>
          <w:lang w:val="en-US" w:eastAsia="zh-CN"/>
        </w:rPr>
      </w:pPr>
    </w:p>
    <w:p w14:paraId="66F77352">
      <w:pPr>
        <w:keepNext w:val="0"/>
        <w:keepLines w:val="0"/>
        <w:widowControl/>
        <w:numPr>
          <w:ilvl w:val="0"/>
          <w:numId w:val="2"/>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eastAsia" w:ascii="宋体" w:hAnsi="宋体" w:eastAsia="宋体" w:cs="宋体"/>
          <w:i w:val="0"/>
          <w:iCs w:val="0"/>
          <w:caps w:val="0"/>
          <w:color w:val="333333"/>
          <w:spacing w:val="0"/>
          <w:sz w:val="24"/>
          <w:szCs w:val="24"/>
          <w:shd w:val="clear" w:fill="FFFFFF"/>
          <w:lang w:val="en-US" w:eastAsia="zh-CN"/>
        </w:rPr>
        <w:t>中长期的价格是价格预期的引导，可调节负荷可提前规划用能，现货市场体现的是某个时刻的市场的供需关系，让价格引导可中断负荷停机。需求响应是直接调度，用钱来换你降负荷，丰富中长期的品种，增加合同签订和交易组织实际上增加了各主体间的调整空间，</w:t>
      </w:r>
      <w:r>
        <w:rPr>
          <w:rFonts w:ascii="宋体" w:hAnsi="宋体" w:eastAsia="宋体" w:cs="宋体"/>
          <w:kern w:val="0"/>
          <w:sz w:val="24"/>
          <w:szCs w:val="24"/>
          <w:lang w:val="en-US" w:eastAsia="zh-CN" w:bidi="ar"/>
        </w:rPr>
        <w:t>所以"拉大峰谷价差、引导削峰填谷"不是中长期交易的目的，</w:t>
      </w:r>
      <w:r>
        <w:rPr>
          <w:rFonts w:hint="eastAsia" w:ascii="宋体" w:hAnsi="宋体" w:eastAsia="宋体" w:cs="宋体"/>
          <w:kern w:val="0"/>
          <w:sz w:val="24"/>
          <w:szCs w:val="24"/>
          <w:lang w:val="en-US" w:eastAsia="zh-CN" w:bidi="ar"/>
        </w:rPr>
        <w:t>而</w:t>
      </w:r>
      <w:r>
        <w:rPr>
          <w:rFonts w:ascii="宋体" w:hAnsi="宋体" w:eastAsia="宋体" w:cs="宋体"/>
          <w:kern w:val="0"/>
          <w:sz w:val="24"/>
          <w:szCs w:val="24"/>
          <w:lang w:val="en-US" w:eastAsia="zh-CN" w:bidi="ar"/>
        </w:rPr>
        <w:t>是分时段定价机制的自然结果</w:t>
      </w:r>
      <w:r>
        <w:rPr>
          <w:rFonts w:hint="eastAsia" w:ascii="宋体" w:hAnsi="宋体" w:eastAsia="宋体" w:cs="宋体"/>
          <w:kern w:val="0"/>
          <w:sz w:val="24"/>
          <w:szCs w:val="24"/>
          <w:lang w:val="en-US" w:eastAsia="zh-CN" w:bidi="ar"/>
        </w:rPr>
        <w:t>。电不是一个普通商品，首先它应该先服从物理规律，然后是经济规律，最后才是金融规律。电力交易听着像交易商品，也有着金融合约，但是本质上和系统调度，运行，备用，断面约束，机组情况，负荷变化这些物理属性有关系。中长期交易是锁价的工具，类似期货的套期保值，但他又不是标准化的商品期货合约，而是和真实的发用电曲线绑定，交易实际上做的是风险管控，对于售电公司来说他决定了批发侧的采购成本，对电厂来说，决定多少量已经锁定，多少量是暴露在现货市场价格里。</w:t>
      </w:r>
    </w:p>
    <w:p w14:paraId="54E7D3E4">
      <w:pPr>
        <w:keepNext w:val="0"/>
        <w:keepLines w:val="0"/>
        <w:widowControl/>
        <w:suppressLineNumbers w:val="0"/>
        <w:jc w:val="left"/>
        <w:rPr>
          <w:rFonts w:hint="default"/>
          <w:lang w:val="en-US"/>
        </w:rPr>
      </w:pPr>
      <w:r>
        <w:rPr>
          <w:rFonts w:hint="eastAsia" w:ascii="宋体" w:hAnsi="宋体" w:eastAsia="宋体" w:cs="宋体"/>
          <w:i w:val="0"/>
          <w:iCs w:val="0"/>
          <w:caps w:val="0"/>
          <w:color w:val="333333"/>
          <w:spacing w:val="0"/>
          <w:sz w:val="24"/>
          <w:szCs w:val="24"/>
          <w:shd w:val="clear" w:fill="FFFFFF"/>
          <w:lang w:val="en-US" w:eastAsia="zh-CN"/>
        </w:rPr>
        <w:t>4.</w:t>
      </w:r>
      <w:r>
        <w:rPr>
          <w:rFonts w:ascii="宋体" w:hAnsi="宋体" w:eastAsia="宋体" w:cs="宋体"/>
          <w:kern w:val="0"/>
          <w:sz w:val="24"/>
          <w:szCs w:val="24"/>
          <w:lang w:val="en-US" w:eastAsia="zh-CN" w:bidi="ar"/>
        </w:rPr>
        <w:t>多能互补指的是</w:t>
      </w:r>
      <w:r>
        <w:rPr>
          <w:rFonts w:ascii="宋体" w:hAnsi="宋体" w:eastAsia="宋体" w:cs="宋体"/>
          <w:b w:val="0"/>
          <w:bCs w:val="0"/>
          <w:kern w:val="0"/>
          <w:sz w:val="24"/>
          <w:szCs w:val="24"/>
          <w:lang w:val="en-US" w:eastAsia="zh-CN" w:bidi="ar"/>
        </w:rPr>
        <w:t>多种能源形式+</w:t>
      </w:r>
      <w:r>
        <w:rPr>
          <w:rFonts w:ascii="宋体" w:hAnsi="宋体" w:eastAsia="宋体" w:cs="宋体"/>
          <w:b/>
          <w:bCs/>
          <w:kern w:val="0"/>
          <w:sz w:val="24"/>
          <w:szCs w:val="24"/>
          <w:highlight w:val="cyan"/>
          <w:lang w:val="en-US" w:eastAsia="zh-CN" w:bidi="ar"/>
        </w:rPr>
        <w:t>多种调节手段</w:t>
      </w:r>
      <w:r>
        <w:rPr>
          <w:rFonts w:ascii="宋体" w:hAnsi="宋体" w:eastAsia="宋体" w:cs="宋体"/>
          <w:kern w:val="0"/>
          <w:sz w:val="24"/>
          <w:szCs w:val="24"/>
          <w:lang w:val="en-US" w:eastAsia="zh-CN" w:bidi="ar"/>
        </w:rPr>
        <w:t>在一个系统内协同运行</w:t>
      </w:r>
      <w:r>
        <w:rPr>
          <w:rFonts w:hint="eastAsia" w:ascii="宋体" w:hAnsi="宋体" w:eastAsia="宋体" w:cs="宋体"/>
          <w:kern w:val="0"/>
          <w:sz w:val="24"/>
          <w:szCs w:val="24"/>
          <w:lang w:val="en-US" w:eastAsia="zh-CN" w:bidi="ar"/>
        </w:rPr>
        <w:t>一种模式</w:t>
      </w:r>
    </w:p>
    <w:p w14:paraId="724D2534">
      <w:pPr>
        <w:numPr>
          <w:ilvl w:val="0"/>
          <w:numId w:val="0"/>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从简单到复杂</w:t>
      </w:r>
    </w:p>
    <w:p w14:paraId="5B6BF1B9">
      <w:pPr>
        <w:numPr>
          <w:ilvl w:val="0"/>
          <w:numId w:val="0"/>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一、光+储</w:t>
      </w:r>
    </w:p>
    <w:p w14:paraId="4CBB02F8">
      <w:pPr>
        <w:numPr>
          <w:ilvl w:val="0"/>
          <w:numId w:val="0"/>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二、光+储+充</w:t>
      </w:r>
    </w:p>
    <w:p w14:paraId="7037E752">
      <w:pPr>
        <w:numPr>
          <w:ilvl w:val="0"/>
          <w:numId w:val="0"/>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三、光+储+充+能耗管理</w:t>
      </w:r>
    </w:p>
    <w:p w14:paraId="5EF823C3">
      <w:pPr>
        <w:numPr>
          <w:ilvl w:val="0"/>
          <w:numId w:val="0"/>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四、风、光+储+充+能耗管理+需求响应+调频调峰</w:t>
      </w:r>
    </w:p>
    <w:p w14:paraId="72B1B61E">
      <w:pPr>
        <w:numPr>
          <w:ilvl w:val="0"/>
          <w:numId w:val="0"/>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光储充</w:t>
      </w:r>
      <w:bookmarkStart w:id="5" w:name="OLE_LINK5"/>
      <w:r>
        <w:rPr>
          <w:rFonts w:hint="eastAsia" w:ascii="宋体" w:hAnsi="宋体" w:eastAsia="宋体" w:cs="宋体"/>
          <w:i w:val="0"/>
          <w:iCs w:val="0"/>
          <w:caps w:val="0"/>
          <w:color w:val="333333"/>
          <w:spacing w:val="0"/>
          <w:sz w:val="24"/>
          <w:szCs w:val="24"/>
          <w:shd w:val="clear" w:fill="FFFFFF"/>
          <w:lang w:val="en-US" w:eastAsia="zh-CN"/>
        </w:rPr>
        <w:t>简单逻辑：光伏自发自用省</w:t>
      </w:r>
      <w:bookmarkEnd w:id="5"/>
      <w:r>
        <w:rPr>
          <w:rFonts w:hint="eastAsia" w:ascii="宋体" w:hAnsi="宋体" w:eastAsia="宋体" w:cs="宋体"/>
          <w:i w:val="0"/>
          <w:iCs w:val="0"/>
          <w:caps w:val="0"/>
          <w:color w:val="333333"/>
          <w:spacing w:val="0"/>
          <w:sz w:val="24"/>
          <w:szCs w:val="24"/>
          <w:shd w:val="clear" w:fill="FFFFFF"/>
          <w:lang w:val="en-US" w:eastAsia="zh-CN"/>
        </w:rPr>
        <w:t>电费，储能峰谷套利赚差价，充电桩充电收取服务费</w:t>
      </w:r>
    </w:p>
    <w:p w14:paraId="1628E653">
      <w:pPr>
        <w:numPr>
          <w:ilvl w:val="0"/>
          <w:numId w:val="0"/>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参与市场的逻辑：光伏绿电溢价出售，储能参与辅助服务赚取服务费，充电桩参与需求响应拿补贴。</w:t>
      </w:r>
    </w:p>
    <w:p w14:paraId="4A7527A8">
      <w:pPr>
        <w:numPr>
          <w:ilvl w:val="0"/>
          <w:numId w:val="0"/>
        </w:numPr>
        <w:rPr>
          <w:rFonts w:hint="default"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售电公司可以做调研和咨询，哪些适合做光储充，收咨询费，多个光储充项目聚合做虚拟电厂。</w:t>
      </w:r>
    </w:p>
    <w:p w14:paraId="027DE82C">
      <w:pPr>
        <w:numPr>
          <w:ilvl w:val="0"/>
          <w:numId w:val="0"/>
        </w:numPr>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3.1售电和储能会不会有冲突？怎么给储能用户定售电价格？</w:t>
      </w:r>
    </w:p>
    <w:p w14:paraId="2B51AFAE">
      <w:pPr>
        <w:numPr>
          <w:ilvl w:val="0"/>
          <w:numId w:val="0"/>
        </w:numPr>
        <w:rPr>
          <w:rFonts w:hint="default"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售电投资储能，定一个固定价，上多少储能给降多少价格。储能基于现货价格调度。</w:t>
      </w:r>
    </w:p>
    <w:p w14:paraId="1424FD43">
      <w:pPr>
        <w:keepNext w:val="0"/>
        <w:keepLines w:val="0"/>
        <w:widowControl/>
        <w:numPr>
          <w:ilvl w:val="0"/>
          <w:numId w:val="1"/>
        </w:numPr>
        <w:suppressLineNumbers w:val="0"/>
        <w:ind w:left="0" w:leftChars="0" w:firstLine="0" w:firstLineChars="0"/>
        <w:jc w:val="left"/>
        <w:rPr>
          <w:rFonts w:ascii="宋体" w:hAnsi="宋体" w:eastAsia="宋体" w:cs="宋体"/>
          <w:kern w:val="0"/>
          <w:sz w:val="24"/>
          <w:szCs w:val="24"/>
          <w:lang w:val="en-US" w:eastAsia="zh-CN" w:bidi="ar"/>
        </w:rPr>
      </w:pPr>
      <w:r>
        <w:rPr>
          <w:rFonts w:hint="eastAsia" w:ascii="宋体" w:hAnsi="宋体" w:eastAsia="宋体" w:cs="宋体"/>
          <w:i w:val="0"/>
          <w:iCs w:val="0"/>
          <w:caps w:val="0"/>
          <w:color w:val="333333"/>
          <w:spacing w:val="0"/>
          <w:sz w:val="24"/>
          <w:szCs w:val="24"/>
          <w:shd w:val="clear" w:fill="FFFFFF"/>
          <w:lang w:val="en-US" w:eastAsia="zh-CN"/>
        </w:rPr>
        <w:t>负荷集成就是</w:t>
      </w:r>
      <w:r>
        <w:rPr>
          <w:rFonts w:ascii="宋体" w:hAnsi="宋体" w:eastAsia="宋体" w:cs="宋体"/>
          <w:kern w:val="0"/>
          <w:sz w:val="24"/>
          <w:szCs w:val="24"/>
          <w:lang w:val="en-US" w:eastAsia="zh-CN" w:bidi="ar"/>
        </w:rPr>
        <w:t>把多个用户分散的可调节用电负荷打包成一个整体，统一调度、统一交易</w:t>
      </w:r>
    </w:p>
    <w:p w14:paraId="551D9C6C">
      <w:pPr>
        <w:keepNext w:val="0"/>
        <w:keepLines w:val="0"/>
        <w:widowControl/>
        <w:numPr>
          <w:ilvl w:val="0"/>
          <w:numId w:val="0"/>
        </w:numPr>
        <w:suppressLineNumbers w:val="0"/>
        <w:ind w:left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例如空调、照明、空压机、冷库、充电桩、非关键工序产线，这些负荷集成起来可以做什么？</w:t>
      </w:r>
    </w:p>
    <w:p w14:paraId="3BEF3262">
      <w:pPr>
        <w:keepNext w:val="0"/>
        <w:keepLines w:val="0"/>
        <w:widowControl/>
        <w:numPr>
          <w:ilvl w:val="0"/>
          <w:numId w:val="3"/>
        </w:numPr>
        <w:suppressLineNumbers w:val="0"/>
        <w:ind w:leftChars="0"/>
        <w:jc w:val="left"/>
        <w:rPr>
          <w:rFonts w:hint="eastAsia" w:ascii="宋体" w:hAnsi="宋体" w:eastAsia="宋体" w:cs="宋体"/>
          <w:kern w:val="0"/>
          <w:sz w:val="24"/>
          <w:szCs w:val="24"/>
          <w:lang w:val="en-US" w:eastAsia="zh-CN" w:bidi="ar"/>
        </w:rPr>
      </w:pPr>
      <w:bookmarkStart w:id="6" w:name="OLE_LINK6"/>
      <w:r>
        <w:rPr>
          <w:rFonts w:hint="eastAsia" w:ascii="宋体" w:hAnsi="宋体" w:eastAsia="宋体" w:cs="宋体"/>
          <w:kern w:val="0"/>
          <w:sz w:val="24"/>
          <w:szCs w:val="24"/>
          <w:lang w:val="en-US" w:eastAsia="zh-CN" w:bidi="ar"/>
        </w:rPr>
        <w:t>客户做需量管理，节省需量电费</w:t>
      </w:r>
    </w:p>
    <w:bookmarkEnd w:id="6"/>
    <w:p w14:paraId="22F476D3">
      <w:pPr>
        <w:keepNext w:val="0"/>
        <w:keepLines w:val="0"/>
        <w:widowControl/>
        <w:numPr>
          <w:ilvl w:val="0"/>
          <w:numId w:val="3"/>
        </w:numPr>
        <w:suppressLineNumbers w:val="0"/>
        <w:ind w:leftChars="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售电做偏差风控管理，预测多了降负荷，预测少了加负荷</w:t>
      </w:r>
    </w:p>
    <w:p w14:paraId="4CEF0338">
      <w:pPr>
        <w:keepNext w:val="0"/>
        <w:keepLines w:val="0"/>
        <w:widowControl/>
        <w:numPr>
          <w:ilvl w:val="0"/>
          <w:numId w:val="3"/>
        </w:numPr>
        <w:suppressLineNumbers w:val="0"/>
        <w:ind w:leftChars="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需求响应拿补贴，偶尔的需求响应可以拿补贴，未来辅助服务开放也能拿服务费</w:t>
      </w:r>
    </w:p>
    <w:p w14:paraId="1D16B95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未来的核心竞争力不是跑量赚价差，是手上握着多少可调负荷资源。</w:t>
      </w:r>
    </w:p>
    <w:p w14:paraId="0C1AEB7C">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w:t>
      </w:r>
    </w:p>
    <w:p w14:paraId="7F1B6DB9">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6.</w:t>
      </w:r>
      <w:r>
        <w:rPr>
          <w:rFonts w:ascii="宋体" w:hAnsi="宋体" w:eastAsia="宋体" w:cs="宋体"/>
          <w:kern w:val="0"/>
          <w:sz w:val="24"/>
          <w:szCs w:val="24"/>
          <w:lang w:val="en-US" w:eastAsia="zh-CN" w:bidi="ar"/>
        </w:rPr>
        <w:t>固定成本标准全国统一：330元/kW/年</w:t>
      </w:r>
      <w:r>
        <w:rPr>
          <w:rFonts w:hint="eastAsia" w:ascii="宋体" w:hAnsi="宋体" w:eastAsia="宋体" w:cs="宋体"/>
          <w:kern w:val="0"/>
          <w:sz w:val="24"/>
          <w:szCs w:val="24"/>
          <w:lang w:val="en-US" w:eastAsia="zh-CN" w:bidi="ar"/>
        </w:rPr>
        <w:t>，煤电回收比例</w:t>
      </w:r>
      <w:r>
        <w:rPr>
          <w:rFonts w:ascii="宋体" w:hAnsi="宋体" w:eastAsia="宋体" w:cs="宋体"/>
          <w:kern w:val="0"/>
          <w:sz w:val="24"/>
          <w:szCs w:val="24"/>
          <w:lang w:val="en-US" w:eastAsia="zh-CN" w:bidi="ar"/>
        </w:rPr>
        <w:t>2026年起：不低于50%</w:t>
      </w:r>
      <w:r>
        <w:rPr>
          <w:rFonts w:hint="eastAsia" w:ascii="宋体" w:hAnsi="宋体" w:eastAsia="宋体" w:cs="宋体"/>
          <w:kern w:val="0"/>
          <w:sz w:val="24"/>
          <w:szCs w:val="24"/>
          <w:lang w:val="en-US" w:eastAsia="zh-CN" w:bidi="ar"/>
        </w:rPr>
        <w:t>容量电费：工商业用户按照用电量比例分摊，煤电成本结构和市场的定位出现变化：从靠发一度电赚一度电的钱慢慢过渡到固定成本（容量电价）+变动成本（电量电价）</w:t>
      </w:r>
    </w:p>
    <w:p w14:paraId="20D3A4AF">
      <w:pPr>
        <w:keepNext w:val="0"/>
        <w:keepLines w:val="0"/>
        <w:widowControl/>
        <w:suppressLineNumbers w:val="0"/>
        <w:jc w:val="left"/>
        <w:rPr>
          <w:rFonts w:hint="default" w:eastAsiaTheme="minorEastAsia"/>
          <w:lang w:val="en-US" w:eastAsia="zh-CN"/>
        </w:rPr>
      </w:pPr>
      <w:r>
        <w:rPr>
          <w:rFonts w:hint="eastAsia"/>
          <w:lang w:val="en-US" w:eastAsia="zh-CN"/>
        </w:rPr>
        <w:t>7.未来煤电机组发展路径：电量电费（发电量核算）+容量电费（保底收入）+辅助服务收入（对调节电力系统有贡献的奖励）三条线并行缺一不可。</w:t>
      </w:r>
    </w:p>
    <w:p w14:paraId="6C6971D8">
      <w:pPr>
        <w:keepNext w:val="0"/>
        <w:keepLines w:val="0"/>
        <w:widowControl/>
        <w:suppressLineNumbers w:val="0"/>
        <w:jc w:val="left"/>
      </w:pPr>
      <w:r>
        <w:rPr>
          <w:rFonts w:hint="eastAsia" w:ascii="宋体" w:hAnsi="宋体" w:eastAsia="宋体" w:cs="宋体"/>
          <w:kern w:val="0"/>
          <w:sz w:val="24"/>
          <w:szCs w:val="24"/>
          <w:lang w:val="en-US" w:eastAsia="zh-CN" w:bidi="ar"/>
        </w:rPr>
        <w:t>8.现货中系统的边际定价模式体现的就是系统在那一个时刻的供需关系，在新能源占比不断增加的市场，以前新能源报量不报价的情况下，它被优先收购，电网原因未被收购算弃风弃光会被考核，在新能源报量报价模式中，新能源为了保证自己不被考核弃风弃光，新能源只能被动一直报零价，不能体现电力资源的真实价值，但是不纳入考核，新能源就可以以边际成本进行竞价，不中标是因为系统已经满足了，不考核弃风弃光，就能体现电力真实价值，第二点在未来系统出现负电价的时候，新能源报零价也会中标，发出来的电还要倒贴钱，倒逼新能源按照边际价格报价，让价格信号体现电力真实价值。新能源也要站出来</w:t>
      </w:r>
      <w:r>
        <w:rPr>
          <w:rFonts w:ascii="宋体" w:hAnsi="宋体" w:eastAsia="宋体" w:cs="宋体"/>
          <w:kern w:val="0"/>
          <w:sz w:val="24"/>
          <w:szCs w:val="24"/>
          <w:lang w:val="en-US" w:eastAsia="zh-CN" w:bidi="ar"/>
        </w:rPr>
        <w:t>承担市场主体的权利和义务</w:t>
      </w:r>
      <w:r>
        <w:rPr>
          <w:rFonts w:hint="eastAsia" w:ascii="宋体" w:hAnsi="宋体" w:eastAsia="宋体" w:cs="宋体"/>
          <w:kern w:val="0"/>
          <w:sz w:val="24"/>
          <w:szCs w:val="24"/>
          <w:lang w:val="en-US" w:eastAsia="zh-CN" w:bidi="ar"/>
        </w:rPr>
        <w:t>，而不是只是搭便车报零价。</w:t>
      </w:r>
    </w:p>
    <w:p w14:paraId="307BEDB2">
      <w:pPr>
        <w:keepNext w:val="0"/>
        <w:keepLines w:val="0"/>
        <w:widowControl/>
        <w:suppressLineNumbers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9.以前大电网和小电网直接存在隶属关系和管理层级，未来的格局会变成，小电网和大电网直接只有所谓的契约关系，小电网可以向大电网买电，也可以向大电网卖电，小电网从只买电的购买方变成和大网共济共享的角色，内部自平衡，每一层都是参与市场的主体，层级之间靠交易+运行调度机制连接，在管理层面不是谁来管理谁，而是谁和谁做交易</w:t>
      </w:r>
      <w:bookmarkStart w:id="7" w:name="_GoBack"/>
      <w:bookmarkEnd w:id="7"/>
    </w:p>
    <w:p w14:paraId="5612ADF9">
      <w:pPr>
        <w:keepNext w:val="0"/>
        <w:keepLines w:val="0"/>
        <w:widowControl/>
        <w:suppressLineNumbers w:val="0"/>
        <w:jc w:val="left"/>
        <w:rPr>
          <w:rFonts w:ascii="宋体" w:hAnsi="宋体" w:eastAsia="宋体" w:cs="宋体"/>
          <w:kern w:val="0"/>
          <w:sz w:val="24"/>
          <w:szCs w:val="24"/>
          <w:lang w:val="en-US" w:eastAsia="zh-CN" w:bidi="ar"/>
        </w:rPr>
      </w:pPr>
    </w:p>
    <w:p w14:paraId="7C53A1FD">
      <w:pPr>
        <w:keepNext w:val="0"/>
        <w:keepLines w:val="0"/>
        <w:widowControl/>
        <w:numPr>
          <w:ilvl w:val="0"/>
          <w:numId w:val="0"/>
        </w:numPr>
        <w:suppressLineNumbers w:val="0"/>
        <w:jc w:val="left"/>
        <w:rPr>
          <w:rFonts w:hint="default" w:ascii="宋体" w:hAnsi="宋体" w:eastAsia="宋体" w:cs="宋体"/>
          <w:kern w:val="0"/>
          <w:sz w:val="24"/>
          <w:szCs w:val="24"/>
          <w:lang w:val="en-US" w:eastAsia="zh-CN" w:bidi="ar"/>
        </w:rPr>
      </w:pPr>
    </w:p>
    <w:p w14:paraId="005E57CB">
      <w:pPr>
        <w:numPr>
          <w:ilvl w:val="0"/>
          <w:numId w:val="0"/>
        </w:numPr>
        <w:rPr>
          <w:rFonts w:hint="default" w:ascii="宋体" w:hAnsi="宋体" w:eastAsia="宋体" w:cs="宋体"/>
          <w:i w:val="0"/>
          <w:iCs w:val="0"/>
          <w:caps w:val="0"/>
          <w:color w:val="333333"/>
          <w:spacing w:val="0"/>
          <w:sz w:val="24"/>
          <w:szCs w:val="24"/>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75310D"/>
    <w:multiLevelType w:val="singleLevel"/>
    <w:tmpl w:val="F175310D"/>
    <w:lvl w:ilvl="0" w:tentative="0">
      <w:start w:val="2"/>
      <w:numFmt w:val="decimal"/>
      <w:lvlText w:val="%1."/>
      <w:lvlJc w:val="left"/>
      <w:pPr>
        <w:tabs>
          <w:tab w:val="left" w:pos="312"/>
        </w:tabs>
      </w:pPr>
    </w:lvl>
  </w:abstractNum>
  <w:abstractNum w:abstractNumId="1">
    <w:nsid w:val="15781C87"/>
    <w:multiLevelType w:val="singleLevel"/>
    <w:tmpl w:val="15781C87"/>
    <w:lvl w:ilvl="0" w:tentative="0">
      <w:start w:val="2"/>
      <w:numFmt w:val="decimal"/>
      <w:lvlText w:val="%1."/>
      <w:lvlJc w:val="left"/>
      <w:pPr>
        <w:tabs>
          <w:tab w:val="left" w:pos="312"/>
        </w:tabs>
      </w:pPr>
    </w:lvl>
  </w:abstractNum>
  <w:abstractNum w:abstractNumId="2">
    <w:nsid w:val="33BA02DA"/>
    <w:multiLevelType w:val="singleLevel"/>
    <w:tmpl w:val="33BA02DA"/>
    <w:lvl w:ilvl="0" w:tentative="0">
      <w:start w:val="1"/>
      <w:numFmt w:val="chineseCounting"/>
      <w:suff w:val="nothing"/>
      <w:lvlText w:val="%1、"/>
      <w:lvlJc w:val="left"/>
      <w:rPr>
        <w:rFonts w:hint="eastAsi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223F37"/>
    <w:rsid w:val="4DD13C31"/>
    <w:rsid w:val="5FA73CAF"/>
    <w:rsid w:val="64082D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61</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2026-05-26T01:02:00Z</dcterms:created>
  <dc:creator>Administrator</dc:creator>
  <cp:lastModifiedBy>gcb</cp:lastModifiedBy>
  <dcterms:modified xsi:type="dcterms:W3CDTF">2026-05-27T16:15:12Z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1EB3BCA6D18A44319BDF3ECE1F4FF1E2</vt:lpwstr>
  </property>
</Properties>
</file>