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7h52na53c9s6" w:id="0"/>
      <w:bookmarkEnd w:id="0"/>
      <w:r w:rsidDel="00000000" w:rsidR="00000000" w:rsidRPr="00000000">
        <w:rPr>
          <w:rFonts w:ascii="Times New Roman" w:cs="Times New Roman" w:eastAsia="Times New Roman" w:hAnsi="Times New Roman"/>
          <w:b w:val="1"/>
          <w:color w:val="000000"/>
          <w:sz w:val="26"/>
          <w:szCs w:val="26"/>
          <w:rtl w:val="0"/>
        </w:rPr>
        <w:t xml:space="preserve">Single-Cell Genomics: A Stepping Stone for Future Immunology Discoveries (A Review)</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immunology has traditionally relied on morphological and molecular markers to classify immune cells. In their paper “Single-Cell Genomics: A Stepping Stone for Future Immunology Discoveries,” Giladi and Amit argued that these classical approaches fail to capture the immune system’s complexity and plasticity. They propose single-cell genomics, particularly single-cell RNA sequencing (scRNA-seq), as a transformative tool capable of redefining how immune cell diversity and function are understood.</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Evolution of Immune Cell Characterization</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Giladi and Amit traced the historical progression of immunology, noting that fixed markers once guided discoveries but have proven insufficient to explain functional heterogeneity. Immune cells constantly adapt their gene expression to tissue environments, making static classifications inadequate (Giladi and Amit, 2018). Single-cell RNA sequencing overcomes these limitations by profiling each cell independently, revealing previously unrecognized subtypes such as disease-associated microglia in Alzheimer’s disease and diverse T-helper and innate lymphoid subsets. These findings highlight that immune identity is dynamic and context dependent.</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Technological Advances and Analytical Shifts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emphasize recent advances in microfluidics, molecular barcoding, and computational clustering that have increased the throughput, reproducibility, and sensitivity of single-cell studies. They introduce transcriptional sorting, an unbiased, bottom-up approach to defining immune populations from transcriptomic data. Nevertheless, they acknowledge ongoing challenges, such as integrating spatial and temporal information and managing the vast datasets generated by single-cell experiments.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Giladi and Amit envision single-cell genomics as both a discovery platform and a translational bridge for immunotherapy and biomarker research. Their perspective balances optimism with realism, recognizing that while single-cell technologies have revolutionized immunology, their full potential depends on continued innovation and analytical refinement.</w:t>
      </w:r>
    </w:p>
    <w:p w:rsidR="00000000" w:rsidDel="00000000" w:rsidP="00000000" w:rsidRDefault="00000000" w:rsidRPr="00000000" w14:paraId="0000000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Giladi, A., &amp; Amit, I. (2018).</w:t>
      </w:r>
      <w:r w:rsidDel="00000000" w:rsidR="00000000" w:rsidRPr="00000000">
        <w:rPr>
          <w:rFonts w:ascii="Times New Roman" w:cs="Times New Roman" w:eastAsia="Times New Roman" w:hAnsi="Times New Roman"/>
          <w:sz w:val="24"/>
          <w:szCs w:val="24"/>
          <w:rtl w:val="0"/>
        </w:rPr>
        <w:t xml:space="preserve"> Single-cell genomics: A stepping stone for future immunology discoveries. Cell, 172(1), 14–21. https://doi.org/10.1016/j.cell.2017.11.011</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