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4.png" ContentType="image/png"/>
  <Override PartName="/word/media/rId228.png" ContentType="image/png"/>
  <Override PartName="/word/media/rId11.png" ContentType="image/png"/>
  <Override PartName="/word/media/rId28.png" ContentType="image/png"/>
  <Override PartName="/word/media/rId219.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bootstrapped median RMSE, ΔRMSE, SRCC and bias for calibration and test reefs, with 95% confidence intervals. Median bias was -0.01 [-0.02, -0.0] for calibration reefs and -0.01 [-0.03, 0.02] for test reefs. Since roughly as many reefs are overpredicted as underpredicted, this signed median is close to zero even though individual reefs can have a substantial bias in either direction; Table S1 therefore also reports the mean absolute bias (0.04 [0.03, 0.04] for calibration reefs and 0.04 [0.03, 0.05] for test reefs), which better reflects the magnitude of a typical reef’s directional error.</w:t>
      </w:r>
    </w:p>
    <w:p>
      <w:pPr>
        <w:pStyle w:val="BodyText"/>
      </w:pPr>
      <w:r>
        <w:t xml:space="preserve">Table S2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5394960" cy="6429237"/>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 \mathbf{\Delta RMSE}, 0.02 [0.01, 0.04], for test reefs \mathbf{\Delta RMSE}, 0.02 [-0.0, 0.05], for calibration reefs \mathbf{SRCC}, 0.77 [0.7, 0.82], and for test reefs SRCC, 0.82 [0.55,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5394960" cy="6429237"/>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[0.01, 0.04], for test reefs</w:t>
      </w:r>
      <w:r>
        <w:t xml:space="preserve"> </w:t>
      </w:r>
      <m:oMath>
        <m:r>
          <m:rPr>
            <m:sty m:val="b"/>
          </m:rPr>
          <m:t>Δ</m:t>
        </m:r>
        <m:r>
          <m:rPr>
            <m:sty m:val="b"/>
          </m:rPr>
          <m:t>R</m:t>
        </m:r>
        <m:r>
          <m:rPr>
            <m:sty m:val="b"/>
          </m:rPr>
          <m:t>M</m:t>
        </m:r>
        <m:r>
          <m:rPr>
            <m:sty m:val="b"/>
          </m:rPr>
          <m:t>S</m:t>
        </m:r>
        <m:r>
          <m:rPr>
            <m:sty m:val="b"/>
          </m:rPr>
          <m:t>E</m:t>
        </m:r>
      </m:oMath>
      <w:r>
        <w:t xml:space="preserve">, 0.02 [-0.0, 0.05], for calibration reefs</w:t>
      </w:r>
      <w:r>
        <w:t xml:space="preserve"> </w:t>
      </w:r>
      <m:oMath>
        <m:r>
          <m:rPr>
            <m:sty m:val="b"/>
          </m:rPr>
          <m:t>S</m:t>
        </m:r>
        <m:r>
          <m:rPr>
            <m:sty m:val="b"/>
          </m:rPr>
          <m:t>R</m:t>
        </m:r>
        <m:r>
          <m:rPr>
            <m:sty m:val="b"/>
          </m:rPr>
          <m:t>C</m:t>
        </m:r>
        <m:r>
          <m:rPr>
            <m:sty m:val="b"/>
          </m:rPr>
          <m:t>C</m:t>
        </m:r>
      </m:oMath>
      <w:r>
        <w:t xml:space="preserve">, 0.77 [0.7, 0.82], and for test reefs SRCC, 0.82 [0.55,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(the two with the lowest and two with the highest ΔRMSE)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McCulloch Reef (No 1) (17-016a): Model RMSE = 0.08, Benchmark RMSE = 0.03, ΔRMSE = -0.06, SRCC = -0.2, Bias = 0.07; (B) Low Islands Reef (16-028): Model RMSE = 0.15, Benchmark RMSE = 0.1, ΔRMSE = -0.05, SRCC = 0.0, Bias = -0.08; (C) Rebe Reef (19-209): Model RMSE = 0.11, Benchmark RMSE = 0.23, ΔRMSE = 0.12, SRCC = 1.0, Bias = -0.05; (D) Ben Reef (20-113): 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McCulloch Reef (No 1) (17-016a):</w:t>
      </w:r>
      <w:r>
        <w:t xml:space="preserve"> </w:t>
      </w:r>
      <w:r>
        <w:t xml:space="preserve">Model RMSE = 0.08, Benchmark RMSE = 0.03, ΔRMSE = -0.06, SRCC = -0.2, Bias = 0.07; (</w:t>
      </w:r>
      <w:r>
        <w:rPr>
          <w:b/>
          <w:bCs/>
        </w:rPr>
        <w:t xml:space="preserve">B</w:t>
      </w:r>
      <w:r>
        <w:t xml:space="preserve">)</w:t>
      </w:r>
      <w:r>
        <w:t xml:space="preserve"> </w:t>
      </w:r>
      <w:r>
        <w:rPr>
          <w:b/>
          <w:bCs/>
        </w:rPr>
        <w:t xml:space="preserve">Low Islands Reef (16-028):</w:t>
      </w:r>
      <w:r>
        <w:t xml:space="preserve"> </w:t>
      </w:r>
      <w:r>
        <w:t xml:space="preserve">Model RMSE = 0.15, Benchmark RMSE = 0.1, ΔRMSE = -0.05, SRCC = 0.0, Bias = -0.08; (</w:t>
      </w:r>
      <w:r>
        <w:rPr>
          <w:b/>
          <w:bCs/>
        </w:rPr>
        <w:t xml:space="preserve">C</w:t>
      </w:r>
      <w:r>
        <w:t xml:space="preserve">)</w:t>
      </w:r>
      <w:r>
        <w:t xml:space="preserve"> </w:t>
      </w:r>
      <w:r>
        <w:rPr>
          <w:b/>
          <w:bCs/>
        </w:rPr>
        <w:t xml:space="preserve">Rebe Reef (19-209):</w:t>
      </w:r>
      <w:r>
        <w:t xml:space="preserve"> </w:t>
      </w:r>
      <w:r>
        <w:t xml:space="preserve">Model RMSE = 0.11, Benchmark RMSE = 0.23, ΔRMSE = 0.12, SRCC = 1.0, Bias = -0.05; (</w:t>
      </w:r>
      <w:r>
        <w:rPr>
          <w:b/>
          <w:bCs/>
        </w:rPr>
        <w:t xml:space="preserve">D</w:t>
      </w:r>
      <w:r>
        <w:t xml:space="preserve">)</w:t>
      </w:r>
      <w:r>
        <w:t xml:space="preserve"> </w:t>
      </w:r>
      <w:r>
        <w:rPr>
          <w:b/>
          <w:bCs/>
        </w:rPr>
        <w:t xml:space="preserve">Ben Reef (20-113):</w:t>
      </w:r>
      <w:r>
        <w:t xml:space="preserve"> </w:t>
      </w:r>
      <w:r>
        <w:t xml:space="preserve">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 This is reflected in the bias metrics reported in Table S1: CoralBlox is intended to give a good indication of regional coral cover dynamics rather than to precisely predict any individual reef’s trajectory, so the near-zero signed median bias is relevant at the regional scale, while the larger mean absolute bias reflects the expected margin of error at the individual reef scale.</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rPr>
                                <m:nor/>
                                <m:sty m:val="b"/>
                              </m:rPr>
                              <m:t>recruits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rPr>
                                        <m:nor/>
                                        <m:sty m:val="b"/>
                                      </m:rPr>
                                      <m:t>growth</m:t>
                                    </m:r>
                                  </m:sup>
                                </m:sSubSup>
                                <m:r>
                                  <m:rPr>
                                    <m:sty m:val="p"/>
                                  </m:rPr>
                                  <m:t>⋅</m:t>
                                </m:r>
                                <m:sSubSup>
                                  <m:e>
                                    <m:r>
                                      <m:t>v</m:t>
                                    </m:r>
                                  </m:e>
                                  <m:sub>
                                    <m:r>
                                      <m:t>g</m:t>
                                    </m:r>
                                    <m:r>
                                      <m:rPr>
                                        <m:sty m:val="p"/>
                                      </m:rPr>
                                      <m:t>,</m:t>
                                    </m:r>
                                    <m:r>
                                      <m:t>z</m:t>
                                    </m:r>
                                    <m:r>
                                      <m:rPr>
                                        <m:sty m:val="p"/>
                                      </m:rPr>
                                      <m:t>,</m:t>
                                    </m:r>
                                    <m:r>
                                      <m:t>l</m:t>
                                    </m:r>
                                  </m:sub>
                                  <m:sup>
                                    <m:r>
                                      <m:rPr>
                                        <m:nor/>
                                        <m:sty m:val="b"/>
                                      </m:rPr>
                                      <m:t>background</m:t>
                                    </m:r>
                                  </m:sup>
                                </m:sSubSup>
                                <m:r>
                                  <m:rPr>
                                    <m:sty m:val="p"/>
                                  </m:rPr>
                                  <m:t>⋅</m:t>
                                </m:r>
                                <m:sSubSup>
                                  <m:e>
                                    <m:r>
                                      <m:t>v</m:t>
                                    </m:r>
                                  </m:e>
                                  <m:sub>
                                    <m:r>
                                      <m:t>t</m:t>
                                    </m:r>
                                    <m:r>
                                      <m:rPr>
                                        <m:sty m:val="p"/>
                                      </m:rPr>
                                      <m:t>;</m:t>
                                    </m:r>
                                    <m:r>
                                      <m:t> </m:t>
                                    </m:r>
                                    <m:r>
                                      <m:t>g</m:t>
                                    </m:r>
                                    <m:r>
                                      <m:rPr>
                                        <m:sty m:val="p"/>
                                      </m:rPr>
                                      <m:t>,</m:t>
                                    </m:r>
                                    <m:r>
                                      <m:t>z</m:t>
                                    </m:r>
                                    <m:r>
                                      <m:rPr>
                                        <m:sty m:val="p"/>
                                      </m:rPr>
                                      <m:t>,</m:t>
                                    </m:r>
                                    <m:r>
                                      <m:t>l</m:t>
                                    </m:r>
                                  </m:sub>
                                  <m:sup>
                                    <m:r>
                                      <m:rPr>
                                        <m:nor/>
                                        <m:sty m:val="b"/>
                                      </m:rPr>
                                      <m:t>bleaching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rPr>
                <m:nor/>
                <m:sty m:val="b"/>
              </m:rPr>
              <m:t>recruits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rPr>
                <m:nor/>
                <m:sty m:val="b"/>
              </m:rPr>
              <m:t>growth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rPr>
                <m:nor/>
                <m:sty m:val="b"/>
              </m:rPr>
              <m:t>background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rPr>
                        <m:nor/>
                        <m:sty m:val="b"/>
                      </m:rPr>
                      <m:t>background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rPr>
                <m:nor/>
                <m:sty m:val="b"/>
              </m:rPr>
              <m:t>bleaching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rPr>
                <m:nor/>
                <m:sty m:val="b"/>
              </m:rPr>
              <m:t>growth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rPr>
                        <m:nor/>
                        <m:sty m:val="b"/>
                      </m:rPr>
                      <m:t>growth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rPr>
                                      <m:nor/>
                                      <m:sty m:val="b"/>
                                    </m:rPr>
                                    <m:t>base</m:t>
                                  </m:r>
                                </m:sup>
                              </m:sSup>
                            </m:num>
                            <m:den>
                              <m:r>
                                <m:t>1</m:t>
                              </m:r>
                              <m:r>
                                <m:rPr>
                                  <m:sty m:val="p"/>
                                </m:rPr>
                                <m:t>+</m:t>
                              </m:r>
                              <m:r>
                                <m:t>D</m:t>
                              </m:r>
                              <m:r>
                                <m:t>H</m:t>
                              </m:r>
                              <m:sSub>
                                <m:e>
                                  <m:r>
                                    <m:t>W</m:t>
                                  </m:r>
                                </m:e>
                                <m:sub>
                                  <m:r>
                                    <m:t>t</m:t>
                                  </m:r>
                                  <m:r>
                                    <m:rPr>
                                      <m:sty m:val="p"/>
                                    </m:rPr>
                                    <m:t>;</m:t>
                                  </m:r>
                                  <m:r>
                                    <m:t>l</m:t>
                                  </m:r>
                                </m:sub>
                              </m:sSub>
                              <m:r>
                                <m:rPr>
                                  <m:sty m:val="p"/>
                                </m:rPr>
                                <m:t>/</m:t>
                              </m:r>
                              <m:sSup>
                                <m:e>
                                  <m:r>
                                    <m:t>η</m:t>
                                  </m:r>
                                </m:e>
                                <m:sup>
                                  <m:r>
                                    <m:rPr>
                                      <m:nor/>
                                      <m:sty m:val="b"/>
                                    </m:rPr>
                                    <m:t>mix</m:t>
                                  </m:r>
                                </m:sup>
                              </m:sSup>
                            </m:den>
                          </m:f>
                          <m:r>
                            <m:rPr>
                              <m:sty m:val="p"/>
                            </m:rPr>
                            <m:t>,</m:t>
                          </m:r>
                        </m:e>
                        <m:e>
                          <m:sSup>
                            <m:e>
                              <m:r>
                                <m:t>η</m:t>
                              </m:r>
                            </m:e>
                            <m:sup>
                              <m:r>
                                <m:rPr>
                                  <m:nor/>
                                  <m:sty m:val="b"/>
                                </m:rPr>
                                <m:t>mix</m:t>
                              </m:r>
                            </m:sup>
                          </m:sSup>
                          <m:r>
                            <m:rPr>
                              <m:sty m:val="p"/>
                            </m:rPr>
                            <m:t>&gt;</m:t>
                          </m:r>
                          <m:r>
                            <m:t>0</m:t>
                          </m:r>
                        </m:e>
                      </m:mr>
                      <m:mr>
                        <m:e>
                          <m:r>
                            <m:t>0</m:t>
                          </m:r>
                          <m:r>
                            <m:rPr>
                              <m:sty m:val="p"/>
                            </m:rPr>
                            <m:t>,</m:t>
                          </m:r>
                        </m:e>
                        <m:e>
                          <m:sSup>
                            <m:e>
                              <m:r>
                                <m:t>η</m:t>
                              </m:r>
                            </m:e>
                            <m:sup>
                              <m:r>
                                <m:rPr>
                                  <m:nor/>
                                  <m:sty m:val="b"/>
                                </m:rPr>
                                <m:t>mix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rPr>
                <m:nor/>
                <m:sty m:val="b"/>
              </m:rPr>
              <m:t>base</m:t>
            </m:r>
          </m:sup>
        </m:sSup>
      </m:oMath>
      <w:r>
        <w:t xml:space="preserve">, in m</w:t>
      </w:r>
      <m:oMath>
        <m:sSup>
          <m:e>
            <m:r>
              <m:t>​</m:t>
            </m:r>
          </m:e>
          <m:sup>
            <m:r>
              <m:rPr>
                <m:sty m:val="p"/>
              </m:rPr>
              <m:t>−</m:t>
            </m:r>
            <m:r>
              <m:t>1</m:t>
            </m:r>
          </m:sup>
        </m:sSup>
      </m:oMath>
      <w:r>
        <w:t xml:space="preserve">) and a mixing factor (</w:t>
      </w:r>
      <m:oMath>
        <m:sSup>
          <m:e>
            <m:r>
              <m:t>η</m:t>
            </m:r>
          </m:e>
          <m:sup>
            <m:r>
              <m:rPr>
                <m:nor/>
                <m:sty m:val="b"/>
              </m:rPr>
              <m:t>mix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rPr>
                <m:nor/>
                <m:sty m:val="b"/>
              </m:rPr>
              <m:t>base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rPr>
                <m:nor/>
                <m:sty m:val="b"/>
              </m:rPr>
              <m:t>mix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rPr>
                        <m:nor/>
                        <m:sty m:val="b"/>
                      </m:rPr>
                      <m:t>bleaching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rPr>
                        <m:nor/>
                        <m:sty m:val="b"/>
                      </m:rPr>
                      <m:t>growth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rPr>
                        <m:nor/>
                        <m:sty m:val="b"/>
                      </m:rPr>
                      <m:t>settler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rPr>
                                <m:nor/>
                                <m:sty m:val="b"/>
                              </m:rPr>
                              <m:t>settler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rPr>
                        <m:nor/>
                        <m:sty m:val="b"/>
                      </m:rPr>
                      <m:t>reprod.</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 (19) can push</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w:t>
      </w:r>
      <w:r>
        <w:t xml:space="preserve">above the source location’s own ceiling, and the connectivity-weighted combination in Eq. (20) can compound this across source locations,</w:t>
      </w:r>
      <w:r>
        <w:t xml:space="preserve"> </w:t>
      </w:r>
      <m:oMath>
        <m:sSubSup>
          <m:e>
            <m:r>
              <m:t>μ</m:t>
            </m:r>
          </m:e>
          <m:sub>
            <m:r>
              <m:t>t</m:t>
            </m:r>
            <m:r>
              <m:rPr>
                <m:sty m:val="p"/>
              </m:rPr>
              <m:t>;</m:t>
            </m:r>
            <m:r>
              <m:t>g</m:t>
            </m:r>
            <m:r>
              <m:rPr>
                <m:sty m:val="p"/>
              </m:rPr>
              <m:t>,</m:t>
            </m:r>
            <m:r>
              <m:t>1</m:t>
            </m:r>
            <m:r>
              <m:rPr>
                <m:sty m:val="p"/>
              </m:rPr>
              <m:t>,</m:t>
            </m:r>
            <m:r>
              <m:t>l</m:t>
            </m:r>
          </m:sub>
          <m:sup>
            <m:r>
              <m:rPr>
                <m:nor/>
                <m:sty m:val="b"/>
              </m:rPr>
              <m:t>reprod.</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three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ii) the Spearman Rank Correlation Coefficient (SRCC) between observed and modelled relative coral cover, and iii) the bias,</w:t>
      </w:r>
      <w:r>
        <w:t xml:space="preserve"> </w:t>
      </w:r>
      <m:oMath>
        <m:r>
          <m:t>b</m:t>
        </m:r>
        <m:r>
          <m:t>i</m:t>
        </m:r>
        <m:r>
          <m:t>a</m:t>
        </m:r>
        <m:r>
          <m:t>s</m:t>
        </m:r>
        <m:r>
          <m:rPr>
            <m:sty m:val="p"/>
          </m:rPr>
          <m:t>=</m:t>
        </m:r>
        <m:r>
          <m:t>m</m:t>
        </m:r>
        <m:r>
          <m:t>e</m:t>
        </m:r>
        <m:r>
          <m:t>a</m:t>
        </m:r>
        <m:r>
          <m:t>n</m:t>
        </m:r>
        <m:d>
          <m:dPr>
            <m:begChr m:val="("/>
            <m:sepChr m:val=""/>
            <m:endChr m:val=")"/>
            <m:grow/>
          </m:dPr>
          <m:e>
            <m:acc>
              <m:accPr>
                <m:chr m:val="̂"/>
              </m:accPr>
              <m:e>
                <m:r>
                  <m:t>y</m:t>
                </m:r>
              </m:e>
            </m:acc>
            <m:r>
              <m:rPr>
                <m:sty m:val="p"/>
              </m:rPr>
              <m:t>−</m:t>
            </m:r>
            <m:r>
              <m:t>y</m:t>
            </m:r>
          </m:e>
        </m:d>
      </m:oMath>
      <w:r>
        <w:t xml:space="preserve">. Positive ΔRMSE values indicate reefs where CoralBlox outperforms the benchmark. SRCC values provide an indication of alignment in trends between simulation and observations. Positive bias values indicate CoralBlox overpredicts coral cover on average, negative values indicate underprediction.</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SRCC and bias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09"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End w:id="209"/>
    <w:bookmarkStart w:id="237" w:name="supplementary-materials"/>
    <w:p>
      <w:pPr>
        <w:pStyle w:val="Heading1"/>
      </w:pPr>
      <w:r>
        <w:t xml:space="preserve">7. Supplementary Materials</w:t>
      </w:r>
    </w:p>
    <w:bookmarkStart w:id="210" w:name="parameter-values"/>
    <w:p>
      <w:pPr>
        <w:pStyle w:val="Heading2"/>
      </w:pPr>
      <w:r>
        <w:t xml:space="preserve">7.1 Parameter values</w:t>
      </w:r>
    </w:p>
    <w:p>
      <w:pPr>
        <w:pStyle w:val="FirstParagraph"/>
      </w:pPr>
      <w:r>
        <w:rPr>
          <w:b/>
          <w:bCs/>
        </w:rPr>
        <w:t xml:space="preserve">Heritability = 0.3</w:t>
      </w:r>
    </w:p>
    <w:bookmarkEnd w:id="210"/>
    <w:bookmarkStart w:id="211" w:name="tables"/>
    <w:p>
      <w:pPr>
        <w:pStyle w:val="Heading2"/>
      </w:pPr>
      <w:r>
        <w:t xml:space="preserve">7.2 Tables</w:t>
      </w:r>
    </w:p>
    <w:p>
      <w:pPr>
        <w:pStyle w:val="TableCaption"/>
      </w:pPr>
      <w:r>
        <w:rPr>
          <w:b/>
          <w:bCs/>
        </w:rPr>
        <w:t xml:space="preserve">Table S1. Bootstrapped median performance metrics and 95% confidence intervals for calibration and test reefs.</w:t>
      </w:r>
    </w:p>
    <w:tbl>
      <w:tblPr>
        <w:tblStyle w:val="Table"/>
        <w:tblW w:type="auto" w:w="0"/>
        <w:tblLook w:firstRow="1" w:lastRow="0" w:firstColumn="0" w:lastColumn="0" w:noHBand="0" w:noVBand="0" w:val="0020"/>
        <w:tblCaption w:val="Table S1.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0.09]</w:t>
            </w:r>
          </w:p>
        </w:tc>
      </w:tr>
      <w:tr>
        <w:tc>
          <w:tcPr/>
          <w:p>
            <w:pPr>
              <w:pStyle w:val="Compact"/>
              <w:jc w:val="left"/>
            </w:pPr>
            <w:r>
              <w:t xml:space="preserve">ΔRMSE</w:t>
            </w:r>
          </w:p>
        </w:tc>
        <w:tc>
          <w:tcPr/>
          <w:p>
            <w:pPr>
              <w:pStyle w:val="Compact"/>
              <w:jc w:val="left"/>
            </w:pPr>
            <w:r>
              <w:t xml:space="preserve">0.02 [0.01, 0.04]</w:t>
            </w:r>
          </w:p>
        </w:tc>
        <w:tc>
          <w:tcPr/>
          <w:p>
            <w:pPr>
              <w:pStyle w:val="Compact"/>
              <w:jc w:val="left"/>
            </w:pPr>
            <w:r>
              <w:t xml:space="preserve">0.02 [-0.0, 0.05]</w:t>
            </w:r>
          </w:p>
        </w:tc>
      </w:tr>
      <w:tr>
        <w:tc>
          <w:tcPr/>
          <w:p>
            <w:pPr>
              <w:pStyle w:val="Compact"/>
              <w:jc w:val="left"/>
            </w:pPr>
            <w:r>
              <w:t xml:space="preserve">SRCC</w:t>
            </w:r>
          </w:p>
        </w:tc>
        <w:tc>
          <w:tcPr/>
          <w:p>
            <w:pPr>
              <w:pStyle w:val="Compact"/>
              <w:jc w:val="left"/>
            </w:pPr>
            <w:r>
              <w:t xml:space="preserve">0.77 [0.7, 0.82]</w:t>
            </w:r>
          </w:p>
        </w:tc>
        <w:tc>
          <w:tcPr/>
          <w:p>
            <w:pPr>
              <w:pStyle w:val="Compact"/>
              <w:jc w:val="left"/>
            </w:pPr>
            <w:r>
              <w:t xml:space="preserve">0.82 [0.55, 0.89]</w:t>
            </w:r>
          </w:p>
        </w:tc>
      </w:tr>
      <w:tr>
        <w:tc>
          <w:tcPr/>
          <w:p>
            <w:pPr>
              <w:pStyle w:val="Compact"/>
              <w:jc w:val="left"/>
            </w:pPr>
            <w:r>
              <w:t xml:space="preserve">Bias</w:t>
            </w:r>
          </w:p>
        </w:tc>
        <w:tc>
          <w:tcPr/>
          <w:p>
            <w:pPr>
              <w:pStyle w:val="Compact"/>
              <w:jc w:val="left"/>
            </w:pPr>
            <w:r>
              <w:t xml:space="preserve">-0.01 [-0.02, -0.0]</w:t>
            </w:r>
          </w:p>
        </w:tc>
        <w:tc>
          <w:tcPr/>
          <w:p>
            <w:pPr>
              <w:pStyle w:val="Compact"/>
              <w:jc w:val="left"/>
            </w:pPr>
            <w:r>
              <w:t xml:space="preserve">-0.01 [-0.03, 0.02]</w:t>
            </w:r>
          </w:p>
        </w:tc>
      </w:tr>
      <w:tr>
        <w:tc>
          <w:tcPr/>
          <w:p>
            <w:pPr>
              <w:pStyle w:val="Compact"/>
              <w:jc w:val="left"/>
            </w:pPr>
            <w:r>
              <w:t xml:space="preserve">Mean |Bias|</w:t>
            </w:r>
          </w:p>
        </w:tc>
        <w:tc>
          <w:tcPr/>
          <w:p>
            <w:pPr>
              <w:pStyle w:val="Compact"/>
              <w:jc w:val="left"/>
            </w:pPr>
            <w:r>
              <w:t xml:space="preserve">0.04 [0.03, 0.04]</w:t>
            </w:r>
          </w:p>
        </w:tc>
        <w:tc>
          <w:tcPr/>
          <w:p>
            <w:pPr>
              <w:pStyle w:val="Compact"/>
              <w:jc w:val="left"/>
            </w:pPr>
            <w:r>
              <w:t xml:space="preserve">0.04 [0.03, 0.05]</w:t>
            </w:r>
          </w:p>
        </w:tc>
      </w:tr>
    </w:tbl>
    <w:p>
      <w:pPr>
        <w:pStyle w:val="BodyText"/>
      </w:pPr>
      <w:r>
        <w:t xml:space="preserve"> </w:t>
      </w:r>
    </w:p>
    <w:p>
      <w:pPr>
        <w:pStyle w:val="TableCaption"/>
      </w:pPr>
      <w:r>
        <w:rPr>
          <w:b/>
          <w:bCs/>
        </w:rPr>
        <w:t xml:space="preserve">Table S2.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2.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0.38 [0.19, 0.6]</w:t>
            </w:r>
          </w:p>
        </w:tc>
        <w:tc>
          <w:tcPr/>
          <w:p>
            <w:pPr>
              <w:pStyle w:val="Compact"/>
              <w:jc w:val="left"/>
            </w:pPr>
            <w:r>
              <w:t xml:space="preserve">-0.4 [-0.64, -0.22]</w:t>
            </w:r>
          </w:p>
        </w:tc>
        <w:tc>
          <w:tcPr/>
          <w:p>
            <w:pPr>
              <w:pStyle w:val="Compact"/>
              <w:jc w:val="left"/>
            </w:pPr>
            <w:r>
              <w:t xml:space="preserve">-0.42 [-0.63, -0.23]</w:t>
            </w:r>
          </w:p>
        </w:tc>
      </w:tr>
      <w:tr>
        <w:tc>
          <w:tcPr/>
          <w:p>
            <w:pPr>
              <w:pStyle w:val="Compact"/>
              <w:jc w:val="left"/>
            </w:pPr>
            <w:r>
              <w:t xml:space="preserve">ΔRMSE Test</w:t>
            </w:r>
          </w:p>
        </w:tc>
        <w:tc>
          <w:tcPr/>
          <w:p>
            <w:pPr>
              <w:pStyle w:val="Compact"/>
              <w:jc w:val="left"/>
            </w:pPr>
            <w:r>
              <w:t xml:space="preserve">0.44 [0.2, 0.79]</w:t>
            </w:r>
          </w:p>
        </w:tc>
        <w:tc>
          <w:tcPr/>
          <w:p>
            <w:pPr>
              <w:pStyle w:val="Compact"/>
              <w:jc w:val="left"/>
            </w:pPr>
            <w:r>
              <w:t xml:space="preserve">-0.38 [-0.75, -0.13]</w:t>
            </w:r>
          </w:p>
        </w:tc>
        <w:tc>
          <w:tcPr/>
          <w:p>
            <w:pPr>
              <w:pStyle w:val="Compact"/>
              <w:jc w:val="left"/>
            </w:pPr>
            <w:r>
              <w:t xml:space="preserve">-0.53 [-0.9, -0.28]</w:t>
            </w:r>
          </w:p>
        </w:tc>
      </w:tr>
      <w:tr>
        <w:tc>
          <w:tcPr/>
          <w:p>
            <w:pPr>
              <w:pStyle w:val="Compact"/>
              <w:jc w:val="left"/>
            </w:pPr>
            <w:r>
              <w:t xml:space="preserve">SRCC Calibration</w:t>
            </w:r>
          </w:p>
        </w:tc>
        <w:tc>
          <w:tcPr/>
          <w:p>
            <w:pPr>
              <w:pStyle w:val="Compact"/>
              <w:jc w:val="left"/>
            </w:pPr>
            <w:r>
              <w:t xml:space="preserve">0.24 [0.02, 0.49]</w:t>
            </w:r>
          </w:p>
        </w:tc>
        <w:tc>
          <w:tcPr/>
          <w:p>
            <w:pPr>
              <w:pStyle w:val="Compact"/>
              <w:jc w:val="left"/>
            </w:pPr>
            <w:r>
              <w:t xml:space="preserve">-0.26 [-0.5, -0.06]</w:t>
            </w:r>
          </w:p>
        </w:tc>
        <w:tc>
          <w:tcPr/>
          <w:p>
            <w:pPr>
              <w:pStyle w:val="Compact"/>
              <w:jc w:val="left"/>
            </w:pPr>
            <w:r>
              <w:t xml:space="preserve">-0.48 [-0.67, -0.3]</w:t>
            </w:r>
          </w:p>
        </w:tc>
      </w:tr>
      <w:tr>
        <w:tc>
          <w:tcPr/>
          <w:p>
            <w:pPr>
              <w:pStyle w:val="Compact"/>
              <w:jc w:val="left"/>
            </w:pPr>
            <w:r>
              <w:t xml:space="preserve">SRCC Test</w:t>
            </w:r>
          </w:p>
        </w:tc>
        <w:tc>
          <w:tcPr/>
          <w:p>
            <w:pPr>
              <w:pStyle w:val="Compact"/>
              <w:jc w:val="left"/>
            </w:pPr>
            <w:r>
              <w:t xml:space="preserve">0.4 [0.15, 0.78]</w:t>
            </w:r>
          </w:p>
        </w:tc>
        <w:tc>
          <w:tcPr/>
          <w:p>
            <w:pPr>
              <w:pStyle w:val="Compact"/>
              <w:jc w:val="left"/>
            </w:pPr>
            <w:r>
              <w:t xml:space="preserve">-0.34 [-0.71, -0.05]</w:t>
            </w:r>
          </w:p>
        </w:tc>
        <w:tc>
          <w:tcPr/>
          <w:p>
            <w:pPr>
              <w:pStyle w:val="Compact"/>
              <w:jc w:val="left"/>
            </w:pPr>
            <w:r>
              <w:t xml:space="preserve">-0.48 [-0.81, -0.25]</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1"/>
    <w:bookmarkStart w:id="212"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 (8S),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2"/>
    <w:bookmarkStart w:id="218"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3"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3"/>
    <w:bookmarkStart w:id="214"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4"/>
    <w:bookmarkStart w:id="215"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5"/>
    <w:bookmarkStart w:id="216"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6"/>
    <w:bookmarkStart w:id="217"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7"/>
    <w:bookmarkEnd w:id="218"/>
    <w:bookmarkStart w:id="232"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2"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0" name="Picture"/>
            <a:graphic>
              <a:graphicData uri="http://schemas.openxmlformats.org/drawingml/2006/picture">
                <pic:pic>
                  <pic:nvPicPr>
                    <pic:cNvPr descr="media/image7.png" id="221" name="Picture"/>
                    <pic:cNvPicPr>
                      <a:picLocks noChangeArrowheads="1" noChangeAspect="1"/>
                    </pic:cNvPicPr>
                  </pic:nvPicPr>
                  <pic:blipFill>
                    <a:blip r:embed="rId219"/>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2"/>
    <w:bookmarkStart w:id="223"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rPr>
                                <m:nor/>
                                <m:sty m:val="b"/>
                              </m:rPr>
                              <m:t>comp</m:t>
                            </m:r>
                          </m:sup>
                        </m:sSup>
                      </m:e>
                    </m:d>
                  </m:den>
                </m:f>
                <m:nary>
                  <m:naryPr>
                    <m:chr m:val="∑"/>
                    <m:limLoc m:val="undOvr"/>
                    <m:subHide m:val="off"/>
                    <m:supHide m:val="on"/>
                  </m:naryPr>
                  <m:sub>
                    <m:r>
                      <m:t>l</m:t>
                    </m:r>
                    <m:r>
                      <m:rPr>
                        <m:sty m:val="p"/>
                      </m:rPr>
                      <m:t>∈</m:t>
                    </m:r>
                    <m:sSup>
                      <m:e>
                        <m:r>
                          <m:t>L</m:t>
                        </m:r>
                      </m:e>
                      <m:sup>
                        <m:r>
                          <m:rPr>
                            <m:nor/>
                            <m:sty m:val="b"/>
                          </m:rPr>
                          <m:t>comp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rPr>
                <m:nor/>
                <m:sty m:val="b"/>
              </m:rPr>
              <m:t>comp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rPr>
                <m:nor/>
                <m:sty m:val="b"/>
              </m:rPr>
              <m:t>peak</m:t>
            </m:r>
          </m:sup>
        </m:sSubSup>
      </m:oMath>
      <w:r>
        <w:t xml:space="preserve"> </w:t>
      </w:r>
      <w:r>
        <w:t xml:space="preserve">and</w:t>
      </w:r>
      <w:r>
        <w:t xml:space="preserve"> </w:t>
      </w:r>
      <m:oMath>
        <m:sSubSup>
          <m:e>
            <m:r>
              <m:t>t</m:t>
            </m:r>
          </m:e>
          <m:sub>
            <m:r>
              <m:t>l</m:t>
            </m:r>
          </m:sub>
          <m:sup>
            <m:r>
              <m:rPr>
                <m:nor/>
                <m:sty m:val="b"/>
              </m:rPr>
              <m:t>trough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r>
                  <m:t>0.5</m:t>
                </m:r>
                <m:r>
                  <m:rPr>
                    <m:sty m:val="p"/>
                  </m:rPr>
                  <m:t>⋅</m:t>
                </m:r>
                <m:r>
                  <m:t>E</m:t>
                </m:r>
                <m:r>
                  <m:t>r</m:t>
                </m:r>
                <m:sSub>
                  <m:e>
                    <m:r>
                      <m:t>r</m:t>
                    </m:r>
                  </m:e>
                  <m:sub>
                    <m:r>
                      <m:rPr>
                        <m:nor/>
                        <m:sty m:val="b"/>
                      </m:rPr>
                      <m:t>peak</m:t>
                    </m:r>
                  </m:sub>
                </m:sSub>
                <m:r>
                  <m:rPr>
                    <m:sty m:val="p"/>
                  </m:rPr>
                  <m:t>+</m:t>
                </m:r>
                <m:r>
                  <m:t>0.5</m:t>
                </m:r>
                <m:r>
                  <m:rPr>
                    <m:sty m:val="p"/>
                  </m:rPr>
                  <m:t>⋅</m:t>
                </m:r>
                <m:r>
                  <m:t>E</m:t>
                </m:r>
                <m:r>
                  <m:t>r</m:t>
                </m:r>
                <m:sSub>
                  <m:e>
                    <m:r>
                      <m:t>r</m:t>
                    </m:r>
                  </m:e>
                  <m:sub>
                    <m:r>
                      <m:rPr>
                        <m:nor/>
                        <m:sty m:val="b"/>
                      </m:rPr>
                      <m:t>trough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3"/>
    <w:bookmarkStart w:id="227"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5" name="Picture"/>
            <a:graphic>
              <a:graphicData uri="http://schemas.openxmlformats.org/drawingml/2006/picture">
                <pic:pic>
                  <pic:nvPicPr>
                    <pic:cNvPr descr="../figures/S02_dhw_per_reef_group.png" id="226" name="Picture"/>
                    <pic:cNvPicPr>
                      <a:picLocks noChangeArrowheads="1" noChangeAspect="1"/>
                    </pic:cNvPicPr>
                  </pic:nvPicPr>
                  <pic:blipFill>
                    <a:blip r:embed="rId22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7"/>
    <w:bookmarkStart w:id="231" w:name="depth-attenuation-of-dhw"/>
    <w:p>
      <w:pPr>
        <w:pStyle w:val="Heading3"/>
      </w:pPr>
      <w:r>
        <w:t xml:space="preserve">7.5.4 Depth attenuation of DHW</w:t>
      </w:r>
    </w:p>
    <w:p>
      <w:pPr>
        <w:pStyle w:val="FirstParagraph"/>
      </w:pPr>
      <w:r>
        <w:t xml:space="preserve">The calibrated</w:t>
      </w:r>
      <w:r>
        <w:t xml:space="preserve"> </w:t>
      </w:r>
      <m:oMath>
        <m:sSup>
          <m:e>
            <m:r>
              <m:t>η</m:t>
            </m:r>
          </m:e>
          <m:sup>
            <m:r>
              <m:rPr>
                <m:nor/>
                <m:sty m:val="b"/>
              </m:rPr>
              <m:t>base</m:t>
            </m:r>
          </m:sup>
        </m:sSup>
      </m:oMath>
      <w:r>
        <w:t xml:space="preserve"> </w:t>
      </w:r>
      <w:r>
        <w:t xml:space="preserve">and</w:t>
      </w:r>
      <w:r>
        <w:t xml:space="preserve"> </w:t>
      </w:r>
      <m:oMath>
        <m:sSup>
          <m:e>
            <m:r>
              <m:t>η</m:t>
            </m:r>
          </m:e>
          <m:sup>
            <m:r>
              <m:rPr>
                <m:nor/>
                <m:sty m:val="b"/>
              </m:rPr>
              <m:t>mix</m:t>
            </m:r>
          </m:sup>
        </m:sSup>
      </m:oMath>
      <w:r>
        <w:t xml:space="preserve"> </w:t>
      </w:r>
      <w:r>
        <w:t xml:space="preserve">values determine how the effective DHW at depth (Eq.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textbf{base}} and \eta^{\textbf{mix}} values. The dotted line shows the 1:1 reference (no attenuation, i.e. surface conditions)." title="" id="229" name="Picture"/>
            <a:graphic>
              <a:graphicData uri="http://schemas.openxmlformats.org/drawingml/2006/picture">
                <pic:pic>
                  <pic:nvPicPr>
                    <pic:cNvPr descr="../figures/S03_effective_dhw_depth_attenuation.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rPr>
                <m:nor/>
                <m:sty m:val="b"/>
              </m:rPr>
              <m:t>base</m:t>
            </m:r>
          </m:sup>
        </m:sSup>
      </m:oMath>
      <w:r>
        <w:rPr>
          <w:b/>
          <w:bCs/>
        </w:rPr>
        <w:t xml:space="preserve"> </w:t>
      </w:r>
      <w:r>
        <w:rPr>
          <w:b/>
          <w:bCs/>
        </w:rPr>
        <w:t xml:space="preserve">and</w:t>
      </w:r>
      <w:r>
        <w:rPr>
          <w:b/>
          <w:bCs/>
        </w:rPr>
        <w:t xml:space="preserve"> </w:t>
      </w:r>
      <m:oMath>
        <m:sSup>
          <m:e>
            <m:r>
              <m:t>η</m:t>
            </m:r>
          </m:e>
          <m:sup>
            <m:r>
              <m:rPr>
                <m:nor/>
                <m:sty m:val="b"/>
              </m:rPr>
              <m:t>mix</m:t>
            </m:r>
          </m:sup>
        </m:sSup>
      </m:oMath>
      <w:r>
        <w:rPr>
          <w:b/>
          <w:bCs/>
        </w:rPr>
        <w:t xml:space="preserve"> </w:t>
      </w:r>
      <w:r>
        <w:rPr>
          <w:b/>
          <w:bCs/>
        </w:rPr>
        <w:t xml:space="preserve">values.</w:t>
      </w:r>
      <w:r>
        <w:t xml:space="preserve"> </w:t>
      </w:r>
      <w:r>
        <w:t xml:space="preserve">The dotted line shows the 1:1 reference (no attenuation, i.e. surface conditions).</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End w:id="237"/>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9" Target="media/rId219.png" /><Relationship Type="http://schemas.openxmlformats.org/officeDocument/2006/relationships/image" Id="rId233" Target="media/rId233.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2026-08-21T07:58:00Z</dcterms:created>
  <dcterms:modified xsi:type="dcterms:W3CDTF">2026-08-21T07:58:00Z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