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6.png" ContentType="image/png"/>
  <Override PartName="/word/media/rId230.png" ContentType="image/png"/>
  <Override PartName="/word/media/rId239.png" ContentType="image/png"/>
  <Override PartName="/word/media/rId242.png" ContentType="image/png"/>
  <Override PartName="/word/media/rId245.png" ContentType="image/png"/>
  <Override PartName="/word/media/rId248.png" ContentType="image/png"/>
  <Override PartName="/word/media/rId11.png" ContentType="image/png"/>
  <Override PartName="/word/media/rId28.png" ContentType="image/png"/>
  <Override PartName="/word/media/rId221.png" ContentType="image/png"/>
  <Override PartName="/word/media/rId2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CoralBlox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reef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comparatively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w:t>
      </w:r>
    </w:p>
    <w:p>
      <w:pPr>
        <w:pStyle w:val="BodyText"/>
      </w:pPr>
      <w:r>
        <w:t xml:space="preserve">The central question addressed in this paper is: can such a simplified, size-structured representation of coral ecosystem dynamics reproduce observed coral cover trajectories on the GBR with sufficient skill to support management decision-making? We address this by (1) testing CoralBlox’s ability to reproduce historical coral cover trajectories against independent calibration and test reef sets; (2) quantifying model performance at both individual-reef and regional scales; and (3) using global sensitivity analysis to identify which ecological and environmental factors most strongly influence model outcomes. Together, these results establish the conditions under which CoralBlox’s efficiency-for-fidelity trade-off is justified,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referred to as</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Seastar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was 1.3 ± 0.1 seconds (mean ± standard deviation over 10 repetitions, single-core and single-threaded,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Only a fraction of the reefs monitored by the LTMP have enough observations to support a model performance assessment. We split these into a 75% calibration set and a 25% test set: model parameters were fit to the calibration set, while the test set was reserved to assess performance on unseen reefs. Refer to the</w:t>
      </w:r>
      <w:r>
        <w:t xml:space="preserve"> </w:t>
      </w:r>
      <w:r>
        <w:t xml:space="preserve">“Model calibration and testing”</w:t>
      </w:r>
      <w:r>
        <w:t xml:space="preserve"> </w:t>
      </w:r>
      <w:r>
        <w:t xml:space="preserve">section of the Materials and Methods for further details.</w:t>
      </w:r>
    </w:p>
    <w:p>
      <w:pPr>
        <w:pStyle w:val="BodyText"/>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Table S1 presents the bootstrapped median RMSE, ΔRMSE, SRCC, median bias and median absolute bias for calibration and test reefs, with 95% confidence intervals. The full distribution of scores underpinning Figure 2 and Table S1 is presented in Figures S5-S8.</w:t>
      </w:r>
    </w:p>
    <w:p>
      <w:pPr>
        <w:pStyle w:val="BodyText"/>
      </w:pPr>
      <w:r>
        <w:t xml:space="preserve">Table S2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 Unlike the other performance metrics reported in this study, these reef-group-level trends are not assessed via bootstrap resampling since most reef groups have too few reefs for meaningful resampling (as few as two reefs in some test reef groups). In both figures, consecutive years of the observed trajectory are connected by a solid line, so dots that appear unconnected on one or both sides indicate a gap in the historical data. The shaded intervals in these figures show the 95% range of cover across the reefs within each group.</w:t>
      </w:r>
    </w:p>
    <w:p>
      <w:pPr>
        <w:pStyle w:val="CaptionedFigure"/>
      </w:pPr>
      <w:r>
        <w:drawing>
          <wp:inline>
            <wp:extent cx="5394960" cy="6429237"/>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 \mathbf{\Delta RMSE}, 0.02 [0.01, 0.04], for test reefs \mathbf{\Delta RMSE}, 0.02 [-0.0, 0.05], for calibration reefs \mathbf{SRCC}, 0.77 [0.7, 0.82], and for test reefs SRCC, 0.82 [0.55,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5394960" cy="6429237"/>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[0.01, 0.04], for test reefs</w:t>
      </w:r>
      <w:r>
        <w:t xml:space="preserve"> </w:t>
      </w:r>
      <m:oMath>
        <m:r>
          <m:rPr>
            <m:sty m:val="b"/>
          </m:rPr>
          <m:t>Δ</m:t>
        </m:r>
        <m:r>
          <m:rPr>
            <m:sty m:val="b"/>
          </m:rPr>
          <m:t>R</m:t>
        </m:r>
        <m:r>
          <m:rPr>
            <m:sty m:val="b"/>
          </m:rPr>
          <m:t>M</m:t>
        </m:r>
        <m:r>
          <m:rPr>
            <m:sty m:val="b"/>
          </m:rPr>
          <m:t>S</m:t>
        </m:r>
        <m:r>
          <m:rPr>
            <m:sty m:val="b"/>
          </m:rPr>
          <m:t>E</m:t>
        </m:r>
      </m:oMath>
      <w:r>
        <w:t xml:space="preserve">, 0.02 [-0.0, 0.05], for calibration reefs</w:t>
      </w:r>
      <w:r>
        <w:t xml:space="preserve"> </w:t>
      </w:r>
      <m:oMath>
        <m:r>
          <m:rPr>
            <m:sty m:val="b"/>
          </m:rPr>
          <m:t>S</m:t>
        </m:r>
        <m:r>
          <m:rPr>
            <m:sty m:val="b"/>
          </m:rPr>
          <m:t>R</m:t>
        </m:r>
        <m:r>
          <m:rPr>
            <m:sty m:val="b"/>
          </m:rPr>
          <m:t>C</m:t>
        </m:r>
        <m:r>
          <m:rPr>
            <m:sty m:val="b"/>
          </m:rPr>
          <m:t>C</m:t>
        </m:r>
      </m:oMath>
      <w:r>
        <w:t xml:space="preserve">, 0.77 [0.7, 0.82], and for test reefs SRCC, 0.82 [0.55, 0.89].</w:t>
      </w:r>
    </w:p>
    <w:p>
      <w:pPr>
        <w:pStyle w:val="CaptionedFigure"/>
      </w:pPr>
      <w:r>
        <w:drawing>
          <wp:inline>
            <wp:extent cx="5400000" cy="4985228"/>
            <wp:effectExtent b="0" l="0" r="0" t="0"/>
            <wp:docPr descr="Figure 3. Observed versus modelled relative coral cover for calibration reefs aggregated by reef group. Shaded intervals show the 2.5th-97.5th percentile range of cover across reefs within each group."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the 2.5th-97.5th percentile range of cover across reefs within each group.</w:t>
      </w:r>
    </w:p>
    <w:p>
      <w:pPr>
        <w:pStyle w:val="CaptionedFigure"/>
      </w:pPr>
      <w:r>
        <w:drawing>
          <wp:inline>
            <wp:extent cx="5394960" cy="4980576"/>
            <wp:effectExtent b="0" l="0" r="0" t="0"/>
            <wp:docPr descr="Figure 4. Observed versus modelled relative coral cover for test reefs aggregated by reef group. Shaded intervals show the 2.5th-97.5th percentile range of cover across reefs within each group."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the 2.5th-97.5th percentile range of cover across reefs within each group.</w:t>
      </w:r>
    </w:p>
    <w:p>
      <w:pPr>
        <w:pStyle w:val="BodyText"/>
      </w:pPr>
      <w:r>
        <w:t xml:space="preserve">A comparison between modeled and observed relative coral cover for four selected test reefs is presented in Figure 5. The selected reefs (the two with the lowest and two with the highest ΔRMSE)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McCulloch Reef (No 1) (17-016a): Model RMSE = 0.08, Benchmark RMSE = 0.03, ΔRMSE = -0.06, SRCC = -0.2, Bias = 0.07; (B) Low Islands Reef (16-028): Model RMSE = 0.15, Benchmark RMSE = 0.1, ΔRMSE = -0.05, SRCC = 0.0, Bias = -0.08; (C) Rebe Reef (19-209): Model RMSE = 0.11, Benchmark RMSE = 0.23, ΔRMSE = 0.12, SRCC = 1.0, Bias = -0.05; (D) Ben Reef (20-113): 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McCulloch Reef (No 1) (17-016a):</w:t>
      </w:r>
      <w:r>
        <w:t xml:space="preserve"> </w:t>
      </w:r>
      <w:r>
        <w:t xml:space="preserve">Model RMSE = 0.08, Benchmark RMSE = 0.03, ΔRMSE = -0.06, SRCC = -0.2, Bias = 0.07; (</w:t>
      </w:r>
      <w:r>
        <w:rPr>
          <w:b/>
          <w:bCs/>
        </w:rPr>
        <w:t xml:space="preserve">B</w:t>
      </w:r>
      <w:r>
        <w:t xml:space="preserve">)</w:t>
      </w:r>
      <w:r>
        <w:t xml:space="preserve"> </w:t>
      </w:r>
      <w:r>
        <w:rPr>
          <w:b/>
          <w:bCs/>
        </w:rPr>
        <w:t xml:space="preserve">Low Islands Reef (16-028):</w:t>
      </w:r>
      <w:r>
        <w:t xml:space="preserve"> </w:t>
      </w:r>
      <w:r>
        <w:t xml:space="preserve">Model RMSE = 0.15, Benchmark RMSE = 0.1, ΔRMSE = -0.05, SRCC = 0.0, Bias = -0.08; (</w:t>
      </w:r>
      <w:r>
        <w:rPr>
          <w:b/>
          <w:bCs/>
        </w:rPr>
        <w:t xml:space="preserve">C</w:t>
      </w:r>
      <w:r>
        <w:t xml:space="preserve">)</w:t>
      </w:r>
      <w:r>
        <w:t xml:space="preserve"> </w:t>
      </w:r>
      <w:r>
        <w:rPr>
          <w:b/>
          <w:bCs/>
        </w:rPr>
        <w:t xml:space="preserve">Rebe Reef (19-209):</w:t>
      </w:r>
      <w:r>
        <w:t xml:space="preserve"> </w:t>
      </w:r>
      <w:r>
        <w:t xml:space="preserve">Model RMSE = 0.11, Benchmark RMSE = 0.23, ΔRMSE = 0.12, SRCC = 1.0, Bias = -0.05; (</w:t>
      </w:r>
      <w:r>
        <w:rPr>
          <w:b/>
          <w:bCs/>
        </w:rPr>
        <w:t xml:space="preserve">D</w:t>
      </w:r>
      <w:r>
        <w:t xml:space="preserve">)</w:t>
      </w:r>
      <w:r>
        <w:t xml:space="preserve"> </w:t>
      </w:r>
      <w:r>
        <w:rPr>
          <w:b/>
          <w:bCs/>
        </w:rPr>
        <w:t xml:space="preserve">Ben Reef (20-113):</w:t>
      </w:r>
      <w:r>
        <w:t xml:space="preserve"> </w:t>
      </w:r>
      <w:r>
        <w:t xml:space="preserve">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a model input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 This is reflected in the bias metrics reported in Table S1: CoralBlox is intended to give a good indication of regional coral cover dynamics rather than to precisely predict any individual reef’s trajectory, so the near-zero signed median bias is relevant at the regional scale, while the larger median absolute bias reflects the expected margin of error at the individual reef scale.</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adopting familiar and tested ecological representations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Not representing COTS in projections implies an assumption that COTS-driven mortalities are captured by varying background mortality. Incorporating COTS dynamics is a key area of future work to align with GBR management priorities</w:t>
      </w:r>
      <w:r>
        <w:t xml:space="preserve"> </w:t>
      </w:r>
      <w:r>
        <w:t xml:space="preserve">(2, 40)</w:t>
      </w:r>
      <w:r>
        <w:t xml:space="preserve">.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used to represent the proportion of trait variance that is explained by additive genetic effects (fixed at 0.3;</w:t>
      </w:r>
      <w:r>
        <w:t xml:space="preserve"> </w:t>
      </w:r>
      <w:r>
        <w:t xml:space="preserve">(21)</w:t>
      </w:r>
      <w:r>
        <w:t xml:space="preserve">) is drawn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p</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p</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w:t>
      </w:r>
      <w:r>
        <w:t xml:space="preserve"> </w:t>
      </w:r>
      <w:r>
        <w:t xml:space="preserve">(73)</w:t>
      </w:r>
      <w:r>
        <w:t xml:space="preserve">, implemented in the BlackBoxOptim.jl Julia package</w:t>
      </w:r>
      <w:r>
        <w:t xml:space="preserve"> </w:t>
      </w:r>
      <w:r>
        <w:t xml:space="preserve">(74)</w:t>
      </w:r>
      <w:r>
        <w:t xml:space="preserve">,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p>
    <w:tbl>
      <w:tblPr>
        <w:tblStyle w:val="Table"/>
        <w:tblW w:type="pct" w:w="4950"/>
        <w:tblLayout w:type="fixed"/>
        <w:tblLook w:firstRow="1" w:lastRow="0" w:firstColumn="0" w:lastColumn="0" w:noHBand="0" w:noVBand="0" w:val="0020"/>
        <w:tblCaption w:val="Table 1. Parameters used in the calibration."/>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245</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three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ii) the Spearman Rank Correlation Coefficient (SRCC) between observed and modelled relative coral cover, and iii) the bias,</w:t>
      </w:r>
      <w:r>
        <w:t xml:space="preserve"> </w:t>
      </w:r>
      <m:oMath>
        <m:r>
          <m:t>b</m:t>
        </m:r>
        <m:r>
          <m:t>i</m:t>
        </m:r>
        <m:r>
          <m:t>a</m:t>
        </m:r>
        <m:r>
          <m:t>s</m:t>
        </m:r>
        <m:r>
          <m:rPr>
            <m:sty m:val="p"/>
          </m:rPr>
          <m:t>=</m:t>
        </m:r>
        <m:r>
          <m:t>m</m:t>
        </m:r>
        <m:r>
          <m:t>e</m:t>
        </m:r>
        <m:r>
          <m:t>a</m:t>
        </m:r>
        <m:r>
          <m:t>n</m:t>
        </m:r>
        <m:d>
          <m:dPr>
            <m:begChr m:val="("/>
            <m:sepChr m:val=""/>
            <m:endChr m:val=")"/>
            <m:grow/>
          </m:dPr>
          <m:e>
            <m:acc>
              <m:accPr>
                <m:chr m:val="̂"/>
              </m:accPr>
              <m:e>
                <m:r>
                  <m:t>y</m:t>
                </m:r>
              </m:e>
            </m:acc>
            <m:r>
              <m:rPr>
                <m:sty m:val="p"/>
              </m:rPr>
              <m:t>−</m:t>
            </m:r>
            <m:r>
              <m:t>y</m:t>
            </m:r>
          </m:e>
        </m:d>
      </m:oMath>
      <w:r>
        <w:t xml:space="preserve">. Positive ΔRMSE values indicate reefs where CoralBlox outperforms the benchmark. SRCC values provide an indication of alignment in trends between simulation and observations. Positive bias values indicate CoralBlox overpredicts coral cover on average, negative values indicate underprediction.</w:t>
      </w:r>
    </w:p>
    <w:p>
      <w:pPr>
        <w:pStyle w:val="BodyText"/>
      </w:pPr>
      <w:r>
        <w:t xml:space="preserve">Uncertainty in these metrics was quantified via bootstrap resampling, using the Bootstrap.jl Julia package</w:t>
      </w:r>
      <w:r>
        <w:t xml:space="preserve"> </w:t>
      </w:r>
      <w:r>
        <w:t xml:space="preserve">(75)</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SRCC and bias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(76)</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(77)</w:t>
      </w:r>
      <w:r>
        <w:t xml:space="preserve">. For the heat-stress correlations, we calculated the SRCC between each reefs’ performance metric and the maximum cumulative thermal exposure, measured in DHW.</w:t>
      </w:r>
    </w:p>
    <w:p>
      <w:pPr>
        <w:pStyle w:val="BodyText"/>
      </w:pPr>
      <w:r>
        <w:t xml:space="preserve">AI-assisted tools (Anthropic’s Claude Sonnet 5 and Claude Opus 5) were used during the development of this study to write and refine portions of the code for the CoralBlox and ADRIA model implementations, the calibration pipeline, and the analysis scripts used to compute the performance metrics reported here (ΔRMSE, SRCC, bias, and their bootstrapped confidence intervals). All AI-assisted code was reviewed, tested, and validated by the authors against the model formulation described above prior to use.</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X81557c63b0289a9098c577f968c772c4fd97fd1"/>
    <w:p>
      <w:pPr>
        <w:pStyle w:val="Bibliography"/>
      </w:pPr>
      <w:r>
        <w:t xml:space="preserve">73.</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87">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88"/>
    <w:bookmarkStart w:id="190" w:name="ref-feldtRobertfeldtBlackBoxOptimjl2023"/>
    <w:p>
      <w:pPr>
        <w:pStyle w:val="Bibliography"/>
      </w:pPr>
      <w:r>
        <w:t xml:space="preserve">74.</w:t>
      </w:r>
      <w:r>
        <w:t xml:space="preserve"> </w:t>
      </w:r>
      <w:r>
        <w:t xml:space="preserve">	</w:t>
      </w:r>
      <w:r>
        <w:t xml:space="preserve">R. Feldt, A. Stukalov, C. Rackauckas, Robertfeldt/</w:t>
      </w:r>
      <w:r>
        <w:t xml:space="preserve">BlackBoxOptim</w:t>
      </w:r>
      <w:r>
        <w:t xml:space="preserve">.jl (2023).</w:t>
      </w:r>
      <w:r>
        <w:t xml:space="preserve"> </w:t>
      </w:r>
      <w:hyperlink r:id="rId189">
        <w:r>
          <w:rPr>
            <w:rStyle w:val="Hyperlink"/>
          </w:rPr>
          <w:t xml:space="preserve">https://github.com/robertfeldt/BlackBoxOptim.jl</w:t>
        </w:r>
      </w:hyperlink>
      <w:r>
        <w:t xml:space="preserve">.</w:t>
      </w:r>
    </w:p>
    <w:bookmarkEnd w:id="190"/>
    <w:bookmarkStart w:id="192" w:name="ref-gehringJuliangehringBootstrapjl2023"/>
    <w:p>
      <w:pPr>
        <w:pStyle w:val="Bibliography"/>
      </w:pPr>
      <w:r>
        <w:t xml:space="preserve">75.</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91">
        <w:r>
          <w:rPr>
            <w:rStyle w:val="Hyperlink"/>
          </w:rPr>
          <w:t xml:space="preserve">https://doi.org/10.5281/zenodo.596080</w:t>
        </w:r>
      </w:hyperlink>
      <w:r>
        <w:t xml:space="preserve">.</w:t>
      </w:r>
    </w:p>
    <w:bookmarkEnd w:id="192"/>
    <w:bookmarkStart w:id="193" w:name="Xa83e23e167102cfe0c1fea1f6db60356621499d"/>
    <w:p>
      <w:pPr>
        <w:pStyle w:val="Bibliography"/>
      </w:pPr>
      <w:r>
        <w:t xml:space="preserve">76.</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93"/>
    <w:bookmarkStart w:id="195" w:name="X90d60492b4d63718ae429e70f3313976dfb865b"/>
    <w:p>
      <w:pPr>
        <w:pStyle w:val="Bibliography"/>
      </w:pPr>
      <w:r>
        <w:t xml:space="preserve">77.</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4">
        <w:r>
          <w:rPr>
            <w:rStyle w:val="Hyperlink"/>
          </w:rPr>
          <w:t xml:space="preserve">https://github.com/JuliaStats/Distances.jl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11"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9"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 &lt;&gt;.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To run the model, we used data from the ReefMod-GBR model</w:t>
      </w:r>
      <w:r>
        <w:t xml:space="preserve"> </w:t>
      </w:r>
      <w:r>
        <w:t xml:space="preserve">(35)</w:t>
      </w:r>
      <w:r>
        <w:t xml:space="preserve">, freely and openly available at</w:t>
      </w:r>
      <w:r>
        <w:t xml:space="preserve"> </w:t>
      </w:r>
      <w:hyperlink r:id="rId207">
        <w:r>
          <w:rPr>
            <w:rStyle w:val="Hyperlink"/>
          </w:rPr>
          <w:t xml:space="preserve">https://github.com/ymbozec/REEFMOD.7.2_GBR</w:t>
        </w:r>
      </w:hyperlink>
      <w:r>
        <w:t xml:space="preserve">. This data is available upon request; please send enquiries to y.bozec@uq.edu.au. Further details are available in the calibration code repository referenced above.</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8">
        <w:r>
          <w:rPr>
            <w:rStyle w:val="Hyperlink"/>
          </w:rPr>
          <w:t xml:space="preserve">https://coralreefwatch.noaa.gov/product/5km/</w:t>
        </w:r>
      </w:hyperlink>
      <w:r>
        <w:t xml:space="preserve">). Annual values are based on 1 July from the year prior to 30 June.</w:t>
      </w:r>
    </w:p>
    <w:bookmarkEnd w:id="209"/>
    <w:bookmarkStart w:id="210" w:name="ai-usage"/>
    <w:p>
      <w:pPr>
        <w:pStyle w:val="Heading2"/>
      </w:pPr>
      <w:r>
        <w:t xml:space="preserve">6.5 AI Usage</w:t>
      </w:r>
    </w:p>
    <w:p>
      <w:pPr>
        <w:pStyle w:val="FirstParagraph"/>
      </w:pPr>
      <w:r>
        <w:t xml:space="preserve">We acknowledge the use of AI-assisted tools (Claude Sonnet 5 and Claude Opus 5, Anthropic) in preparing this manuscript: drafting and revising portions of the text, generating the Quarto code used to render the manuscript and its figures, and producing the plots and performance metrics presented in the Results and Supplementary Materials. All AI-assisted content was reviewed and verified by the authors.</w:t>
      </w:r>
    </w:p>
    <w:bookmarkEnd w:id="210"/>
    <w:bookmarkEnd w:id="211"/>
    <w:bookmarkStart w:id="252" w:name="supplementary-materials"/>
    <w:p>
      <w:pPr>
        <w:pStyle w:val="Heading1"/>
      </w:pPr>
      <w:r>
        <w:t xml:space="preserve">7. Supplementary Materials</w:t>
      </w:r>
    </w:p>
    <w:bookmarkStart w:id="212" w:name="parameter-values"/>
    <w:p>
      <w:pPr>
        <w:pStyle w:val="Heading2"/>
      </w:pPr>
      <w:r>
        <w:t xml:space="preserve">7.1 Parameter values</w:t>
      </w:r>
    </w:p>
    <w:p>
      <w:pPr>
        <w:pStyle w:val="FirstParagraph"/>
      </w:pPr>
      <w:r>
        <w:rPr>
          <w:b/>
          <w:bCs/>
        </w:rPr>
        <w:t xml:space="preserve">Heritability = 0.3</w:t>
      </w:r>
    </w:p>
    <w:bookmarkEnd w:id="212"/>
    <w:bookmarkStart w:id="213" w:name="tables"/>
    <w:p>
      <w:pPr>
        <w:pStyle w:val="Heading2"/>
      </w:pPr>
      <w:r>
        <w:t xml:space="preserve">7.2 Tables</w:t>
      </w:r>
    </w:p>
    <w:p>
      <w:pPr>
        <w:pStyle w:val="TableCaption"/>
      </w:pPr>
      <w:r>
        <w:rPr>
          <w:b/>
          <w:bCs/>
        </w:rPr>
        <w:t xml:space="preserve">Table S1. Bootstrapped median performance metrics and 95% confidence intervals for calibration and test reefs.</w:t>
      </w:r>
    </w:p>
    <w:tbl>
      <w:tblPr>
        <w:tblStyle w:val="Table"/>
        <w:tblW w:type="auto" w:w="0"/>
        <w:tblLook w:firstRow="1" w:lastRow="0" w:firstColumn="0" w:lastColumn="0" w:noHBand="0" w:noVBand="0" w:val="0020"/>
        <w:tblCaption w:val="Table S1.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0.09]</w:t>
            </w:r>
          </w:p>
        </w:tc>
      </w:tr>
      <w:tr>
        <w:tc>
          <w:tcPr/>
          <w:p>
            <w:pPr>
              <w:pStyle w:val="Compact"/>
              <w:jc w:val="left"/>
            </w:pPr>
            <w:r>
              <w:t xml:space="preserve">ΔRMSE</w:t>
            </w:r>
          </w:p>
        </w:tc>
        <w:tc>
          <w:tcPr/>
          <w:p>
            <w:pPr>
              <w:pStyle w:val="Compact"/>
              <w:jc w:val="left"/>
            </w:pPr>
            <w:r>
              <w:t xml:space="preserve">0.02 [0.01, 0.04]</w:t>
            </w:r>
          </w:p>
        </w:tc>
        <w:tc>
          <w:tcPr/>
          <w:p>
            <w:pPr>
              <w:pStyle w:val="Compact"/>
              <w:jc w:val="left"/>
            </w:pPr>
            <w:r>
              <w:t xml:space="preserve">0.02 [-0.0, 0.05]</w:t>
            </w:r>
          </w:p>
        </w:tc>
      </w:tr>
      <w:tr>
        <w:tc>
          <w:tcPr/>
          <w:p>
            <w:pPr>
              <w:pStyle w:val="Compact"/>
              <w:jc w:val="left"/>
            </w:pPr>
            <w:r>
              <w:t xml:space="preserve">SRCC</w:t>
            </w:r>
          </w:p>
        </w:tc>
        <w:tc>
          <w:tcPr/>
          <w:p>
            <w:pPr>
              <w:pStyle w:val="Compact"/>
              <w:jc w:val="left"/>
            </w:pPr>
            <w:r>
              <w:t xml:space="preserve">0.77 [0.7, 0.82]</w:t>
            </w:r>
          </w:p>
        </w:tc>
        <w:tc>
          <w:tcPr/>
          <w:p>
            <w:pPr>
              <w:pStyle w:val="Compact"/>
              <w:jc w:val="left"/>
            </w:pPr>
            <w:r>
              <w:t xml:space="preserve">0.82 [0.55, 0.89]</w:t>
            </w:r>
          </w:p>
        </w:tc>
      </w:tr>
      <w:tr>
        <w:tc>
          <w:tcPr/>
          <w:p>
            <w:pPr>
              <w:pStyle w:val="Compact"/>
              <w:jc w:val="left"/>
            </w:pPr>
            <w:r>
              <w:t xml:space="preserve">Bias</w:t>
            </w:r>
          </w:p>
        </w:tc>
        <w:tc>
          <w:tcPr/>
          <w:p>
            <w:pPr>
              <w:pStyle w:val="Compact"/>
              <w:jc w:val="left"/>
            </w:pPr>
            <w:r>
              <w:t xml:space="preserve">-0.01 [-0.02, -0.0]</w:t>
            </w:r>
          </w:p>
        </w:tc>
        <w:tc>
          <w:tcPr/>
          <w:p>
            <w:pPr>
              <w:pStyle w:val="Compact"/>
              <w:jc w:val="left"/>
            </w:pPr>
            <w:r>
              <w:t xml:space="preserve">-0.01 [-0.03, 0.02]</w:t>
            </w:r>
          </w:p>
        </w:tc>
      </w:tr>
      <w:tr>
        <w:tc>
          <w:tcPr/>
          <w:p>
            <w:pPr>
              <w:pStyle w:val="Compact"/>
              <w:jc w:val="left"/>
            </w:pPr>
            <w:r>
              <w:t xml:space="preserve">|Bias|</w:t>
            </w:r>
          </w:p>
        </w:tc>
        <w:tc>
          <w:tcPr/>
          <w:p>
            <w:pPr>
              <w:pStyle w:val="Compact"/>
              <w:jc w:val="left"/>
            </w:pPr>
            <w:r>
              <w:t xml:space="preserve">0.03 [0.02, 0.04]</w:t>
            </w:r>
          </w:p>
        </w:tc>
        <w:tc>
          <w:tcPr/>
          <w:p>
            <w:pPr>
              <w:pStyle w:val="Compact"/>
              <w:jc w:val="left"/>
            </w:pPr>
            <w:r>
              <w:t xml:space="preserve">0.03 [0.02, 0.06]</w:t>
            </w:r>
          </w:p>
        </w:tc>
      </w:tr>
    </w:tbl>
    <w:p>
      <w:pPr>
        <w:pStyle w:val="BodyText"/>
      </w:pPr>
      <w:r>
        <w:t xml:space="preserve"> </w:t>
      </w:r>
    </w:p>
    <w:p>
      <w:pPr>
        <w:pStyle w:val="TableCaption"/>
      </w:pPr>
      <w:r>
        <w:rPr>
          <w:b/>
          <w:bCs/>
        </w:rPr>
        <w:t xml:space="preserve">Table S2.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2.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0.38 [0.19, 0.6]</w:t>
            </w:r>
          </w:p>
        </w:tc>
        <w:tc>
          <w:tcPr/>
          <w:p>
            <w:pPr>
              <w:pStyle w:val="Compact"/>
              <w:jc w:val="left"/>
            </w:pPr>
            <w:r>
              <w:t xml:space="preserve">-0.4 [-0.64, -0.22]</w:t>
            </w:r>
          </w:p>
        </w:tc>
        <w:tc>
          <w:tcPr/>
          <w:p>
            <w:pPr>
              <w:pStyle w:val="Compact"/>
              <w:jc w:val="left"/>
            </w:pPr>
            <w:r>
              <w:t xml:space="preserve">-0.42 [-0.63, -0.23]</w:t>
            </w:r>
          </w:p>
        </w:tc>
      </w:tr>
      <w:tr>
        <w:tc>
          <w:tcPr/>
          <w:p>
            <w:pPr>
              <w:pStyle w:val="Compact"/>
              <w:jc w:val="left"/>
            </w:pPr>
            <w:r>
              <w:t xml:space="preserve">ΔRMSE Test</w:t>
            </w:r>
          </w:p>
        </w:tc>
        <w:tc>
          <w:tcPr/>
          <w:p>
            <w:pPr>
              <w:pStyle w:val="Compact"/>
              <w:jc w:val="left"/>
            </w:pPr>
            <w:r>
              <w:t xml:space="preserve">0.44 [0.2, 0.79]</w:t>
            </w:r>
          </w:p>
        </w:tc>
        <w:tc>
          <w:tcPr/>
          <w:p>
            <w:pPr>
              <w:pStyle w:val="Compact"/>
              <w:jc w:val="left"/>
            </w:pPr>
            <w:r>
              <w:t xml:space="preserve">-0.38 [-0.75, -0.13]</w:t>
            </w:r>
          </w:p>
        </w:tc>
        <w:tc>
          <w:tcPr/>
          <w:p>
            <w:pPr>
              <w:pStyle w:val="Compact"/>
              <w:jc w:val="left"/>
            </w:pPr>
            <w:r>
              <w:t xml:space="preserve">-0.53 [-0.9, -0.28]</w:t>
            </w:r>
          </w:p>
        </w:tc>
      </w:tr>
      <w:tr>
        <w:tc>
          <w:tcPr/>
          <w:p>
            <w:pPr>
              <w:pStyle w:val="Compact"/>
              <w:jc w:val="left"/>
            </w:pPr>
            <w:r>
              <w:t xml:space="preserve">SRCC Calibration</w:t>
            </w:r>
          </w:p>
        </w:tc>
        <w:tc>
          <w:tcPr/>
          <w:p>
            <w:pPr>
              <w:pStyle w:val="Compact"/>
              <w:jc w:val="left"/>
            </w:pPr>
            <w:r>
              <w:t xml:space="preserve">0.24 [0.02, 0.49]</w:t>
            </w:r>
          </w:p>
        </w:tc>
        <w:tc>
          <w:tcPr/>
          <w:p>
            <w:pPr>
              <w:pStyle w:val="Compact"/>
              <w:jc w:val="left"/>
            </w:pPr>
            <w:r>
              <w:t xml:space="preserve">-0.26 [-0.5, -0.06]</w:t>
            </w:r>
          </w:p>
        </w:tc>
        <w:tc>
          <w:tcPr/>
          <w:p>
            <w:pPr>
              <w:pStyle w:val="Compact"/>
              <w:jc w:val="left"/>
            </w:pPr>
            <w:r>
              <w:t xml:space="preserve">-0.48 [-0.67, -0.3]</w:t>
            </w:r>
          </w:p>
        </w:tc>
      </w:tr>
      <w:tr>
        <w:tc>
          <w:tcPr/>
          <w:p>
            <w:pPr>
              <w:pStyle w:val="Compact"/>
              <w:jc w:val="left"/>
            </w:pPr>
            <w:r>
              <w:t xml:space="preserve">SRCC Test</w:t>
            </w:r>
          </w:p>
        </w:tc>
        <w:tc>
          <w:tcPr/>
          <w:p>
            <w:pPr>
              <w:pStyle w:val="Compact"/>
              <w:jc w:val="left"/>
            </w:pPr>
            <w:r>
              <w:t xml:space="preserve">0.4 [0.15, 0.78]</w:t>
            </w:r>
          </w:p>
        </w:tc>
        <w:tc>
          <w:tcPr/>
          <w:p>
            <w:pPr>
              <w:pStyle w:val="Compact"/>
              <w:jc w:val="left"/>
            </w:pPr>
            <w:r>
              <w:t xml:space="preserve">-0.34 [-0.71, -0.05]</w:t>
            </w:r>
          </w:p>
        </w:tc>
        <w:tc>
          <w:tcPr/>
          <w:p>
            <w:pPr>
              <w:pStyle w:val="Compact"/>
              <w:jc w:val="left"/>
            </w:pPr>
            <w:r>
              <w:t xml:space="preserve">-0.48 [-0.81, -0.25]</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3"/>
    <w:bookmarkStart w:id="214"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 (8S),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4"/>
    <w:bookmarkStart w:id="220"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5"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5"/>
    <w:bookmarkStart w:id="216"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6"/>
    <w:bookmarkStart w:id="217"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7"/>
    <w:bookmarkStart w:id="218"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8"/>
    <w:bookmarkStart w:id="219"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9"/>
    <w:bookmarkEnd w:id="220"/>
    <w:bookmarkStart w:id="234"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(73)</w:t>
      </w:r>
      <w:r>
        <w:t xml:space="preserve">, implemented in the BlackBoxOptim.jl Julia package</w:t>
      </w:r>
      <w:r>
        <w:t xml:space="preserve"> </w:t>
      </w:r>
      <w:r>
        <w:t xml:space="preserve">(74)</w:t>
      </w:r>
      <w:r>
        <w:t xml:space="preserve">. The parameter bound settings, data split and objective function are described in more detail in the following sections</w:t>
      </w:r>
    </w:p>
    <w:bookmarkStart w:id="224"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2" name="Picture"/>
            <a:graphic>
              <a:graphicData uri="http://schemas.openxmlformats.org/drawingml/2006/picture">
                <pic:pic>
                  <pic:nvPicPr>
                    <pic:cNvPr descr="media/image7.png" id="223" name="Picture"/>
                    <pic:cNvPicPr>
                      <a:picLocks noChangeArrowheads="1" noChangeAspect="1"/>
                    </pic:cNvPicPr>
                  </pic:nvPicPr>
                  <pic:blipFill>
                    <a:blip r:embed="rId221"/>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4"/>
    <w:bookmarkStart w:id="225"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5"/>
    <w:bookmarkStart w:id="229"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7" name="Picture"/>
            <a:graphic>
              <a:graphicData uri="http://schemas.openxmlformats.org/drawingml/2006/picture">
                <pic:pic>
                  <pic:nvPicPr>
                    <pic:cNvPr descr="../figures/S02_dhw_per_reef_group.png" id="228" name="Picture"/>
                    <pic:cNvPicPr>
                      <a:picLocks noChangeArrowheads="1" noChangeAspect="1"/>
                    </pic:cNvPicPr>
                  </pic:nvPicPr>
                  <pic:blipFill>
                    <a:blip r:embed="rId22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9"/>
    <w:bookmarkStart w:id="233"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31" name="Picture"/>
            <a:graphic>
              <a:graphicData uri="http://schemas.openxmlformats.org/drawingml/2006/picture">
                <pic:pic>
                  <pic:nvPicPr>
                    <pic:cNvPr descr="../figures/S03_effective_dhw_depth_attenuation.png" id="232" name="Picture"/>
                    <pic:cNvPicPr>
                      <a:picLocks noChangeArrowheads="1" noChangeAspect="1"/>
                    </pic:cNvPicPr>
                  </pic:nvPicPr>
                  <pic:blipFill>
                    <a:blip r:embed="rId230"/>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3"/>
    <w:bookmarkEnd w:id="234"/>
    <w:bookmarkStart w:id="238"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6" name="Picture"/>
            <a:graphic>
              <a:graphicData uri="http://schemas.openxmlformats.org/drawingml/2006/picture">
                <pic:pic>
                  <pic:nvPicPr>
                    <pic:cNvPr descr="media/image9.png" id="237" name="Picture"/>
                    <pic:cNvPicPr>
                      <a:picLocks noChangeArrowheads="1" noChangeAspect="1"/>
                    </pic:cNvPicPr>
                  </pic:nvPicPr>
                  <pic:blipFill>
                    <a:blip r:embed="rId235"/>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3842"/>
        <w:gridCol w:w="2112"/>
        <w:gridCol w:w="1906"/>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8"/>
    <w:bookmarkStart w:id="251" w:name="per-reef-performance-metrics"/>
    <w:p>
      <w:pPr>
        <w:pStyle w:val="Heading2"/>
      </w:pPr>
      <w:r>
        <w:t xml:space="preserve">7.7 Per-reef performance metrics</w:t>
      </w:r>
    </w:p>
    <w:p>
      <w:pPr>
        <w:pStyle w:val="FirstParagraph"/>
      </w:pPr>
      <w:r>
        <w:t xml:space="preserve">Figures S5-S8 show the full per-reef distributions underlying the aggregate values reported in Table S1: bootstrapped ΔRMSE and SRCC, each with its own 95% confidence interval, for every calibration and test reef, sorted by value. Values and confidence intervals for reefs with 5 or more observed years were computed using a block bootstrap, and for reefs with 4 observed years using an iid bootstrap. We also show the aggregate bootstrapped median with its own 95% confidence interval.</w:t>
      </w:r>
    </w:p>
    <w:p>
      <w:pPr>
        <w:pStyle w:val="CaptionedFigure"/>
      </w:pPr>
      <w:r>
        <w:drawing>
          <wp:inline>
            <wp:extent cx="5731510" cy="4298632"/>
            <wp:effectExtent b="0" l="0" r="0" t="0"/>
            <wp:docPr descr="Figure S5. Bootstrapped ΔRMSE (benchmark − model RMSE) for each calibration reef." title="" id="240" name="Picture"/>
            <a:graphic>
              <a:graphicData uri="http://schemas.openxmlformats.org/drawingml/2006/picture">
                <pic:pic>
                  <pic:nvPicPr>
                    <pic:cNvPr descr="../figures/S05_rmse_diff_calibration.png" id="241" name="Picture"/>
                    <pic:cNvPicPr>
                      <a:picLocks noChangeArrowheads="1" noChangeAspect="1"/>
                    </pic:cNvPicPr>
                  </pic:nvPicPr>
                  <pic:blipFill>
                    <a:blip r:embed="rId239"/>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S5. Bootstrapped ΔRMSE (benchmark − model RMSE) for each calibration reef.</w:t>
      </w:r>
    </w:p>
    <w:p>
      <w:pPr>
        <w:pStyle w:val="CaptionedFigure"/>
      </w:pPr>
      <w:r>
        <w:drawing>
          <wp:inline>
            <wp:extent cx="5731510" cy="4298632"/>
            <wp:effectExtent b="0" l="0" r="0" t="0"/>
            <wp:docPr descr="Figure S6. Bootstrapped ΔRMSE (benchmark − model RMSE) for each test reef." title="" id="243" name="Picture"/>
            <a:graphic>
              <a:graphicData uri="http://schemas.openxmlformats.org/drawingml/2006/picture">
                <pic:pic>
                  <pic:nvPicPr>
                    <pic:cNvPr descr="../figures/S06_rmse_diff_test.png" id="244" name="Picture"/>
                    <pic:cNvPicPr>
                      <a:picLocks noChangeArrowheads="1" noChangeAspect="1"/>
                    </pic:cNvPicPr>
                  </pic:nvPicPr>
                  <pic:blipFill>
                    <a:blip r:embed="rId242"/>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S6. Bootstrapped ΔRMSE (benchmark − model RMSE) for each test reef.</w:t>
      </w:r>
    </w:p>
    <w:p>
      <w:pPr>
        <w:pStyle w:val="CaptionedFigure"/>
      </w:pPr>
      <w:r>
        <w:drawing>
          <wp:inline>
            <wp:extent cx="5731510" cy="4298632"/>
            <wp:effectExtent b="0" l="0" r="0" t="0"/>
            <wp:docPr descr="Figure S7. Bootstrapped SRCC for each calibration reef." title="" id="246" name="Picture"/>
            <a:graphic>
              <a:graphicData uri="http://schemas.openxmlformats.org/drawingml/2006/picture">
                <pic:pic>
                  <pic:nvPicPr>
                    <pic:cNvPr descr="../figures/S07_srcc_calibration.png" id="247" name="Picture"/>
                    <pic:cNvPicPr>
                      <a:picLocks noChangeArrowheads="1" noChangeAspect="1"/>
                    </pic:cNvPicPr>
                  </pic:nvPicPr>
                  <pic:blipFill>
                    <a:blip r:embed="rId245"/>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S7. Bootstrapped SRCC for each calibration reef.</w:t>
      </w:r>
    </w:p>
    <w:p>
      <w:pPr>
        <w:pStyle w:val="CaptionedFigure"/>
      </w:pPr>
      <w:r>
        <w:drawing>
          <wp:inline>
            <wp:extent cx="5731510" cy="4298632"/>
            <wp:effectExtent b="0" l="0" r="0" t="0"/>
            <wp:docPr descr="Figure S8. Bootstrapped SRCC for each test reef." title="" id="249" name="Picture"/>
            <a:graphic>
              <a:graphicData uri="http://schemas.openxmlformats.org/drawingml/2006/picture">
                <pic:pic>
                  <pic:nvPicPr>
                    <pic:cNvPr descr="../figures/S08_srcc_test.png" id="250" name="Picture"/>
                    <pic:cNvPicPr>
                      <a:picLocks noChangeArrowheads="1" noChangeAspect="1"/>
                    </pic:cNvPicPr>
                  </pic:nvPicPr>
                  <pic:blipFill>
                    <a:blip r:embed="rId24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S8. Bootstrapped SRCC for each test reef.</w:t>
      </w:r>
    </w:p>
    <w:bookmarkEnd w:id="251"/>
    <w:bookmarkEnd w:id="252"/>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21" Target="media/rId221.png" /><Relationship Type="http://schemas.openxmlformats.org/officeDocument/2006/relationships/image" Id="rId235" Target="media/rId235.png" /><Relationship Type="http://schemas.openxmlformats.org/officeDocument/2006/relationships/hyperlink" Id="rId187"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8"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91"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4"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89" Target="https://github.com/robertfeldt/BlackBoxOptim.jl" TargetMode="External" /><Relationship Type="http://schemas.openxmlformats.org/officeDocument/2006/relationships/hyperlink" Id="rId207" Target="https://github.com/ymbozec/REEFMOD.7.2_GBR"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87"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8"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91"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4"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89" Target="https://github.com/robertfeldt/BlackBoxOptim.jl" TargetMode="External" /><Relationship Type="http://schemas.openxmlformats.org/officeDocument/2006/relationships/hyperlink" Id="rId207" Target="https://github.com/ymbozec/REEFMOD.7.2_GBR"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2026-08-25T07:36:06Z</dcterms:created>
  <dcterms:modified xsi:type="dcterms:W3CDTF">2026-08-25T07:36:06Z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