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5.png" ContentType="image/png"/>
  <Override PartName="/word/media/rId229.png" ContentType="image/png"/>
  <Override PartName="/word/media/rId238.png" ContentType="image/png"/>
  <Override PartName="/word/media/rId241.png" ContentType="image/png"/>
  <Override PartName="/word/media/rId244.png" ContentType="image/png"/>
  <Override PartName="/word/media/rId247.png" ContentType="image/png"/>
  <Override PartName="/word/media/rId11.png" ContentType="image/png"/>
  <Override PartName="/word/media/rId28.png" ContentType="image/png"/>
  <Override PartName="/word/media/rId220.png" ContentType="image/png"/>
  <Override PartName="/word/media/rId2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 Table S1 presents the bootstrapped median RMSE, ΔRMSE, SRCC, median bias and median absolute bias for calibration and test reefs, with 95% confidence intervals. The full distribution of scores underpinning Figure 2 and Table S1 is presented in Figures S5-S8.</w:t>
      </w:r>
    </w:p>
    <w:p>
      <w:pPr>
        <w:pStyle w:val="BodyText"/>
      </w:pPr>
      <w:r>
        <w:t xml:space="preserve">Table S2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 Unlike the other performance metrics reported in this study, these reef-group-level trends are not assessed via bootstrap resampling since most reef groups have too few reefs for meaningful resampling (as few as two reefs in some test reef groups). The shaded intervals in these figures show the 2.5th-97.5th percentile range of cover across the reefs within each group.</w:t>
      </w:r>
    </w:p>
    <w:p>
      <w:pPr>
        <w:pStyle w:val="CaptionedFigure"/>
      </w:pPr>
      <w:r>
        <w:drawing>
          <wp:inline>
            <wp:extent cx="5394960" cy="6429237"/>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 \mathbf{\Delta RMSE}, 0.02 [0.01, 0.04], for test reefs \mathbf{\Delta RMSE}, 0.02 [-0.0, 0.05], for calibration reefs \mathbf{SRCC}, 0.77 [0.7, 0.82], and for test reefs SRCC, 0.82 [0.55,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5394960" cy="6429237"/>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50 of 73 reefs (for calibration) and 17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[0.01, 0.04], for test reefs</w:t>
      </w:r>
      <w:r>
        <w:t xml:space="preserve"> </w:t>
      </w:r>
      <m:oMath>
        <m:r>
          <m:rPr>
            <m:sty m:val="b"/>
          </m:rPr>
          <m:t>Δ</m:t>
        </m:r>
        <m:r>
          <m:rPr>
            <m:sty m:val="b"/>
          </m:rPr>
          <m:t>R</m:t>
        </m:r>
        <m:r>
          <m:rPr>
            <m:sty m:val="b"/>
          </m:rPr>
          <m:t>M</m:t>
        </m:r>
        <m:r>
          <m:rPr>
            <m:sty m:val="b"/>
          </m:rPr>
          <m:t>S</m:t>
        </m:r>
        <m:r>
          <m:rPr>
            <m:sty m:val="b"/>
          </m:rPr>
          <m:t>E</m:t>
        </m:r>
      </m:oMath>
      <w:r>
        <w:t xml:space="preserve">, 0.02 [-0.0, 0.05], for calibration reefs</w:t>
      </w:r>
      <w:r>
        <w:t xml:space="preserve"> </w:t>
      </w:r>
      <m:oMath>
        <m:r>
          <m:rPr>
            <m:sty m:val="b"/>
          </m:rPr>
          <m:t>S</m:t>
        </m:r>
        <m:r>
          <m:rPr>
            <m:sty m:val="b"/>
          </m:rPr>
          <m:t>R</m:t>
        </m:r>
        <m:r>
          <m:rPr>
            <m:sty m:val="b"/>
          </m:rPr>
          <m:t>C</m:t>
        </m:r>
        <m:r>
          <m:rPr>
            <m:sty m:val="b"/>
          </m:rPr>
          <m:t>C</m:t>
        </m:r>
      </m:oMath>
      <w:r>
        <w:t xml:space="preserve">, 0.77 [0.7, 0.82], and for test reefs SRCC, 0.82 [0.55, 0.89].</w:t>
      </w:r>
    </w:p>
    <w:p>
      <w:pPr>
        <w:pStyle w:val="CaptionedFigure"/>
      </w:pPr>
      <w:r>
        <w:drawing>
          <wp:inline>
            <wp:extent cx="5400000" cy="4985228"/>
            <wp:effectExtent b="0" l="0" r="0" t="0"/>
            <wp:docPr descr="Figure 3. Observed versus modelled relative coral cover for calibration reefs aggregated by reef group. Shaded intervals show the 2.5th-97.5th percentile range of cover across reefs within each group."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the 2.5th-97.5th percentile range of cover across reefs within each group.</w:t>
      </w:r>
    </w:p>
    <w:p>
      <w:pPr>
        <w:pStyle w:val="CaptionedFigure"/>
      </w:pPr>
      <w:r>
        <w:drawing>
          <wp:inline>
            <wp:extent cx="5394960" cy="4980576"/>
            <wp:effectExtent b="0" l="0" r="0" t="0"/>
            <wp:docPr descr="Figure 4. Observed versus modelled relative coral cover for test reefs aggregated by reef group. Shaded intervals show the 2.5th-97.5th percentile range of cover across reefs within each group."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the 2.5th-97.5th percentile range of cover across reefs within each group.</w:t>
      </w:r>
    </w:p>
    <w:p>
      <w:pPr>
        <w:pStyle w:val="BodyText"/>
      </w:pPr>
      <w:r>
        <w:t xml:space="preserve">A comparison between modeled and observed relative coral cover for four selected test reefs is presented in Figure 5. The selected reefs (the two with the lowest and two with the highest ΔRMSE)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McCulloch Reef (No 1) (17-016a): Model RMSE = 0.08, Benchmark RMSE = 0.03, ΔRMSE = -0.06, SRCC = -0.2, Bias = 0.07; (B) Low Islands Reef (16-028): Model RMSE = 0.15, Benchmark RMSE = 0.1, ΔRMSE = -0.05, SRCC = 0.0, Bias = -0.08; (C) Rebe Reef (19-209): Model RMSE = 0.11, Benchmark RMSE = 0.23, ΔRMSE = 0.12, SRCC = 1.0, Bias = -0.05; (D) Ben Reef (20-113): 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McCulloch Reef (No 1) (17-016a):</w:t>
      </w:r>
      <w:r>
        <w:t xml:space="preserve"> </w:t>
      </w:r>
      <w:r>
        <w:t xml:space="preserve">Model RMSE = 0.08, Benchmark RMSE = 0.03, ΔRMSE = -0.06, SRCC = -0.2, Bias = 0.07; (</w:t>
      </w:r>
      <w:r>
        <w:rPr>
          <w:b/>
          <w:bCs/>
        </w:rPr>
        <w:t xml:space="preserve">B</w:t>
      </w:r>
      <w:r>
        <w:t xml:space="preserve">)</w:t>
      </w:r>
      <w:r>
        <w:t xml:space="preserve"> </w:t>
      </w:r>
      <w:r>
        <w:rPr>
          <w:b/>
          <w:bCs/>
        </w:rPr>
        <w:t xml:space="preserve">Low Islands Reef (16-028):</w:t>
      </w:r>
      <w:r>
        <w:t xml:space="preserve"> </w:t>
      </w:r>
      <w:r>
        <w:t xml:space="preserve">Model RMSE = 0.15, Benchmark RMSE = 0.1, ΔRMSE = -0.05, SRCC = 0.0, Bias = -0.08; (</w:t>
      </w:r>
      <w:r>
        <w:rPr>
          <w:b/>
          <w:bCs/>
        </w:rPr>
        <w:t xml:space="preserve">C</w:t>
      </w:r>
      <w:r>
        <w:t xml:space="preserve">)</w:t>
      </w:r>
      <w:r>
        <w:t xml:space="preserve"> </w:t>
      </w:r>
      <w:r>
        <w:rPr>
          <w:b/>
          <w:bCs/>
        </w:rPr>
        <w:t xml:space="preserve">Rebe Reef (19-209):</w:t>
      </w:r>
      <w:r>
        <w:t xml:space="preserve"> </w:t>
      </w:r>
      <w:r>
        <w:t xml:space="preserve">Model RMSE = 0.11, Benchmark RMSE = 0.23, ΔRMSE = 0.12, SRCC = 1.0, Bias = -0.05; (</w:t>
      </w:r>
      <w:r>
        <w:rPr>
          <w:b/>
          <w:bCs/>
        </w:rPr>
        <w:t xml:space="preserve">D</w:t>
      </w:r>
      <w:r>
        <w:t xml:space="preserve">)</w:t>
      </w:r>
      <w:r>
        <w:t xml:space="preserve"> </w:t>
      </w:r>
      <w:r>
        <w:rPr>
          <w:b/>
          <w:bCs/>
        </w:rPr>
        <w:t xml:space="preserve">Ben Reef (20-113):</w:t>
      </w:r>
      <w:r>
        <w:t xml:space="preserve"> </w:t>
      </w:r>
      <w:r>
        <w:t xml:space="preserve">Model RMSE = 0.05, Benchmark RMSE = 0.22, ΔRMSE = 0.17, SRCC = 0.9, Bias = -0.0.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 This is reflected in the bias metrics reported in Table S1: CoralBlox is intended to give a good indication of regional coral cover dynamics rather than to precisely predict any individual reef’s trajectory, so the near-zero signed median bias is relevant at the regional scale, while the larger median absolute bias reflects the expected margin of error at the individual reef scale.</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rPr>
                                <m:nor/>
                                <m:sty m:val="b"/>
                              </m:rPr>
                              <m:t>recruits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rPr>
                                        <m:nor/>
                                        <m:sty m:val="b"/>
                                      </m:rPr>
                                      <m:t>growth</m:t>
                                    </m:r>
                                  </m:sup>
                                </m:sSubSup>
                                <m:r>
                                  <m:rPr>
                                    <m:sty m:val="p"/>
                                  </m:rPr>
                                  <m:t>⋅</m:t>
                                </m:r>
                                <m:sSubSup>
                                  <m:e>
                                    <m:r>
                                      <m:t>v</m:t>
                                    </m:r>
                                  </m:e>
                                  <m:sub>
                                    <m:r>
                                      <m:t>g</m:t>
                                    </m:r>
                                    <m:r>
                                      <m:rPr>
                                        <m:sty m:val="p"/>
                                      </m:rPr>
                                      <m:t>,</m:t>
                                    </m:r>
                                    <m:r>
                                      <m:t>z</m:t>
                                    </m:r>
                                    <m:r>
                                      <m:rPr>
                                        <m:sty m:val="p"/>
                                      </m:rPr>
                                      <m:t>,</m:t>
                                    </m:r>
                                    <m:r>
                                      <m:t>l</m:t>
                                    </m:r>
                                  </m:sub>
                                  <m:sup>
                                    <m:r>
                                      <m:rPr>
                                        <m:nor/>
                                        <m:sty m:val="b"/>
                                      </m:rPr>
                                      <m:t>background</m:t>
                                    </m:r>
                                  </m:sup>
                                </m:sSubSup>
                                <m:r>
                                  <m:rPr>
                                    <m:sty m:val="p"/>
                                  </m:rPr>
                                  <m:t>⋅</m:t>
                                </m:r>
                                <m:sSubSup>
                                  <m:e>
                                    <m:r>
                                      <m:t>v</m:t>
                                    </m:r>
                                  </m:e>
                                  <m:sub>
                                    <m:r>
                                      <m:t>t</m:t>
                                    </m:r>
                                    <m:r>
                                      <m:rPr>
                                        <m:sty m:val="p"/>
                                      </m:rPr>
                                      <m:t>;</m:t>
                                    </m:r>
                                    <m:r>
                                      <m:t> </m:t>
                                    </m:r>
                                    <m:r>
                                      <m:t>g</m:t>
                                    </m:r>
                                    <m:r>
                                      <m:rPr>
                                        <m:sty m:val="p"/>
                                      </m:rPr>
                                      <m:t>,</m:t>
                                    </m:r>
                                    <m:r>
                                      <m:t>z</m:t>
                                    </m:r>
                                    <m:r>
                                      <m:rPr>
                                        <m:sty m:val="p"/>
                                      </m:rPr>
                                      <m:t>,</m:t>
                                    </m:r>
                                    <m:r>
                                      <m:t>l</m:t>
                                    </m:r>
                                  </m:sub>
                                  <m:sup>
                                    <m:r>
                                      <m:rPr>
                                        <m:nor/>
                                        <m:sty m:val="b"/>
                                      </m:rPr>
                                      <m:t>bleaching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rPr>
                <m:nor/>
                <m:sty m:val="b"/>
              </m:rPr>
              <m:t>recruits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rPr>
                <m:nor/>
                <m:sty m:val="b"/>
              </m:rPr>
              <m:t>growth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rPr>
                <m:nor/>
                <m:sty m:val="b"/>
              </m:rPr>
              <m:t>background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rPr>
                        <m:nor/>
                        <m:sty m:val="b"/>
                      </m:rPr>
                      <m:t>background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rPr>
                <m:nor/>
                <m:sty m:val="b"/>
              </m:rPr>
              <m:t>bleaching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rPr>
                <m:nor/>
                <m:sty m:val="b"/>
              </m:rPr>
              <m:t>growth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rPr>
                        <m:nor/>
                        <m:sty m:val="b"/>
                      </m:rPr>
                      <m:t>growth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rPr>
                                      <m:nor/>
                                      <m:sty m:val="b"/>
                                    </m:rPr>
                                    <m:t>base</m:t>
                                  </m:r>
                                </m:sup>
                              </m:sSup>
                            </m:num>
                            <m:den>
                              <m:r>
                                <m:t>1</m:t>
                              </m:r>
                              <m:r>
                                <m:rPr>
                                  <m:sty m:val="p"/>
                                </m:rPr>
                                <m:t>+</m:t>
                              </m:r>
                              <m:r>
                                <m:t>D</m:t>
                              </m:r>
                              <m:r>
                                <m:t>H</m:t>
                              </m:r>
                              <m:sSub>
                                <m:e>
                                  <m:r>
                                    <m:t>W</m:t>
                                  </m:r>
                                </m:e>
                                <m:sub>
                                  <m:r>
                                    <m:t>t</m:t>
                                  </m:r>
                                  <m:r>
                                    <m:rPr>
                                      <m:sty m:val="p"/>
                                    </m:rPr>
                                    <m:t>;</m:t>
                                  </m:r>
                                  <m:r>
                                    <m:t>l</m:t>
                                  </m:r>
                                </m:sub>
                              </m:sSub>
                              <m:r>
                                <m:rPr>
                                  <m:sty m:val="p"/>
                                </m:rPr>
                                <m:t>/</m:t>
                              </m:r>
                              <m:sSup>
                                <m:e>
                                  <m:r>
                                    <m:t>η</m:t>
                                  </m:r>
                                </m:e>
                                <m:sup>
                                  <m:r>
                                    <m:rPr>
                                      <m:nor/>
                                      <m:sty m:val="b"/>
                                    </m:rPr>
                                    <m:t>mix</m:t>
                                  </m:r>
                                </m:sup>
                              </m:sSup>
                            </m:den>
                          </m:f>
                          <m:r>
                            <m:rPr>
                              <m:sty m:val="p"/>
                            </m:rPr>
                            <m:t>,</m:t>
                          </m:r>
                        </m:e>
                        <m:e>
                          <m:sSup>
                            <m:e>
                              <m:r>
                                <m:t>η</m:t>
                              </m:r>
                            </m:e>
                            <m:sup>
                              <m:r>
                                <m:rPr>
                                  <m:nor/>
                                  <m:sty m:val="b"/>
                                </m:rPr>
                                <m:t>mix</m:t>
                              </m:r>
                            </m:sup>
                          </m:sSup>
                          <m:r>
                            <m:rPr>
                              <m:sty m:val="p"/>
                            </m:rPr>
                            <m:t>&gt;</m:t>
                          </m:r>
                          <m:r>
                            <m:t>0</m:t>
                          </m:r>
                        </m:e>
                      </m:mr>
                      <m:mr>
                        <m:e>
                          <m:r>
                            <m:t>0</m:t>
                          </m:r>
                          <m:r>
                            <m:rPr>
                              <m:sty m:val="p"/>
                            </m:rPr>
                            <m:t>,</m:t>
                          </m:r>
                        </m:e>
                        <m:e>
                          <m:sSup>
                            <m:e>
                              <m:r>
                                <m:t>η</m:t>
                              </m:r>
                            </m:e>
                            <m:sup>
                              <m:r>
                                <m:rPr>
                                  <m:nor/>
                                  <m:sty m:val="b"/>
                                </m:rPr>
                                <m:t>mix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rPr>
                <m:nor/>
                <m:sty m:val="b"/>
              </m:rPr>
              <m:t>base</m:t>
            </m:r>
          </m:sup>
        </m:sSup>
      </m:oMath>
      <w:r>
        <w:t xml:space="preserve">, in m</w:t>
      </w:r>
      <m:oMath>
        <m:sSup>
          <m:e>
            <m:r>
              <m:t>​</m:t>
            </m:r>
          </m:e>
          <m:sup>
            <m:r>
              <m:rPr>
                <m:sty m:val="p"/>
              </m:rPr>
              <m:t>−</m:t>
            </m:r>
            <m:r>
              <m:t>1</m:t>
            </m:r>
          </m:sup>
        </m:sSup>
      </m:oMath>
      <w:r>
        <w:t xml:space="preserve">) and a mixing factor (</w:t>
      </w:r>
      <m:oMath>
        <m:sSup>
          <m:e>
            <m:r>
              <m:t>η</m:t>
            </m:r>
          </m:e>
          <m:sup>
            <m:r>
              <m:rPr>
                <m:nor/>
                <m:sty m:val="b"/>
              </m:rPr>
              <m:t>mix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rPr>
                <m:nor/>
                <m:sty m:val="b"/>
              </m:rPr>
              <m:t>base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rPr>
                <m:nor/>
                <m:sty m:val="b"/>
              </m:rPr>
              <m:t>mix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rPr>
                        <m:nor/>
                        <m:sty m:val="b"/>
                      </m:rPr>
                      <m:t>bleaching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rPr>
                        <m:nor/>
                        <m:sty m:val="b"/>
                      </m:rPr>
                      <m:t>growth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rPr>
                        <m:nor/>
                        <m:sty m:val="b"/>
                      </m:rPr>
                      <m:t>settler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rPr>
                                <m:nor/>
                                <m:sty m:val="b"/>
                              </m:rPr>
                              <m:t>settler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rPr>
                        <m:nor/>
                        <m:sty m:val="b"/>
                      </m:rPr>
                      <m:t>reprod.</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 (19) can push</w:t>
      </w:r>
      <w:r>
        <w:t xml:space="preserve"> </w:t>
      </w:r>
      <m:oMath>
        <m:sSubSup>
          <m:e>
            <m:r>
              <m:t>μ</m:t>
            </m:r>
          </m:e>
          <m:sub>
            <m:r>
              <m:t>t</m:t>
            </m:r>
            <m:r>
              <m:rPr>
                <m:sty m:val="p"/>
              </m:rPr>
              <m:t>;</m:t>
            </m:r>
            <m:r>
              <m:t>g</m:t>
            </m:r>
            <m:r>
              <m:rPr>
                <m:sty m:val="p"/>
              </m:rPr>
              <m:t>,</m:t>
            </m:r>
            <m:sSup>
              <m:e>
                <m:r>
                  <m:t>l</m:t>
                </m:r>
              </m:e>
              <m:sup>
                <m:r>
                  <m:rPr>
                    <m:sty m:val="p"/>
                  </m:rPr>
                  <m:t>′</m:t>
                </m:r>
              </m:sup>
            </m:sSup>
          </m:sub>
          <m:sup>
            <m:r>
              <m:rPr>
                <m:nor/>
                <m:sty m:val="b"/>
              </m:rPr>
              <m:t>settler</m:t>
            </m:r>
          </m:sup>
        </m:sSubSup>
      </m:oMath>
      <w:r>
        <w:t xml:space="preserve"> </w:t>
      </w:r>
      <w:r>
        <w:t xml:space="preserve">above the source location’s own ceiling, and the connectivity-weighted combination in Eq. (20) can compound this across source locations,</w:t>
      </w:r>
      <w:r>
        <w:t xml:space="preserve"> </w:t>
      </w:r>
      <m:oMath>
        <m:sSubSup>
          <m:e>
            <m:r>
              <m:t>μ</m:t>
            </m:r>
          </m:e>
          <m:sub>
            <m:r>
              <m:t>t</m:t>
            </m:r>
            <m:r>
              <m:rPr>
                <m:sty m:val="p"/>
              </m:rPr>
              <m:t>;</m:t>
            </m:r>
            <m:r>
              <m:t>g</m:t>
            </m:r>
            <m:r>
              <m:rPr>
                <m:sty m:val="p"/>
              </m:rPr>
              <m:t>,</m:t>
            </m:r>
            <m:r>
              <m:t>1</m:t>
            </m:r>
            <m:r>
              <m:rPr>
                <m:sty m:val="p"/>
              </m:rPr>
              <m:t>,</m:t>
            </m:r>
            <m:r>
              <m:t>l</m:t>
            </m:r>
          </m:sub>
          <m:sup>
            <m:r>
              <m:rPr>
                <m:nor/>
                <m:sty m:val="b"/>
              </m:rPr>
              <m:t>reprod.</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rPr>
                                          <m:nor/>
                                          <m:sty m:val="b"/>
                                        </m:rPr>
                                        <m:t>growth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rPr>
                                          <m:nor/>
                                          <m:sty m:val="b"/>
                                        </m:rPr>
                                        <m:t>reprod.</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three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ii) the Spearman Rank Correlation Coefficient (SRCC) between observed and modelled relative coral cover, and iii) the bias,</w:t>
      </w:r>
      <w:r>
        <w:t xml:space="preserve"> </w:t>
      </w:r>
      <m:oMath>
        <m:r>
          <m:t>b</m:t>
        </m:r>
        <m:r>
          <m:t>i</m:t>
        </m:r>
        <m:r>
          <m:t>a</m:t>
        </m:r>
        <m:r>
          <m:t>s</m:t>
        </m:r>
        <m:r>
          <m:rPr>
            <m:sty m:val="p"/>
          </m:rPr>
          <m:t>=</m:t>
        </m:r>
        <m:r>
          <m:t>m</m:t>
        </m:r>
        <m:r>
          <m:t>e</m:t>
        </m:r>
        <m:r>
          <m:t>a</m:t>
        </m:r>
        <m:r>
          <m:t>n</m:t>
        </m:r>
        <m:d>
          <m:dPr>
            <m:begChr m:val="("/>
            <m:sepChr m:val=""/>
            <m:endChr m:val=")"/>
            <m:grow/>
          </m:dPr>
          <m:e>
            <m:acc>
              <m:accPr>
                <m:chr m:val="̂"/>
              </m:accPr>
              <m:e>
                <m:r>
                  <m:t>y</m:t>
                </m:r>
              </m:e>
            </m:acc>
            <m:r>
              <m:rPr>
                <m:sty m:val="p"/>
              </m:rPr>
              <m:t>−</m:t>
            </m:r>
            <m:r>
              <m:t>y</m:t>
            </m:r>
          </m:e>
        </m:d>
      </m:oMath>
      <w:r>
        <w:t xml:space="preserve">. Positive ΔRMSE values indicate reefs where CoralBlox outperforms the benchmark. SRCC values provide an indication of alignment in trends between simulation and observations. Positive bias values indicate CoralBlox overpredicts coral cover on average, negative values indicate underprediction.</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SRCC and bias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p>
      <w:pPr>
        <w:pStyle w:val="BodyText"/>
      </w:pPr>
      <w:r>
        <w:t xml:space="preserve">AI-assisted tools (Claude Sonnet 5 and Claude Opus 5, Anthropic) were used during the development of this study to write and refine code for the CoralBlox and ADRIA model implementations, the calibration pipeline, and the analysis scripts used to compute the performance metrics reported here (ΔRMSE, SRCC, bias, and their bootstrapped confidence intervals). All AI-assisted code was reviewed, tested, and validated by the authors against the model formulation described above prior to use.</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10"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Start w:id="209" w:name="ai-usage"/>
    <w:p>
      <w:pPr>
        <w:pStyle w:val="Heading2"/>
      </w:pPr>
      <w:r>
        <w:t xml:space="preserve">6.5 AI Usage</w:t>
      </w:r>
    </w:p>
    <w:p>
      <w:pPr>
        <w:pStyle w:val="FirstParagraph"/>
      </w:pPr>
      <w:r>
        <w:t xml:space="preserve">We acknowledge the use of AI-assisted tools (Claude Sonnet 5 and Claude Opus 5, Anthropic) in preparing this manuscript: drafting and revising portions of the text, generating the Quarto code used to render the manuscript and its figures, and producing the plots and performance metrics presented in the Results and Supplementary Materials. All AI-assisted content was reviewed and verified by the authors.</w:t>
      </w:r>
    </w:p>
    <w:bookmarkEnd w:id="209"/>
    <w:bookmarkEnd w:id="210"/>
    <w:bookmarkStart w:id="251" w:name="supplementary-materials"/>
    <w:p>
      <w:pPr>
        <w:pStyle w:val="Heading1"/>
      </w:pPr>
      <w:r>
        <w:t xml:space="preserve">7. Supplementary Materials</w:t>
      </w:r>
    </w:p>
    <w:bookmarkStart w:id="211" w:name="parameter-values"/>
    <w:p>
      <w:pPr>
        <w:pStyle w:val="Heading2"/>
      </w:pPr>
      <w:r>
        <w:t xml:space="preserve">7.1 Parameter values</w:t>
      </w:r>
    </w:p>
    <w:p>
      <w:pPr>
        <w:pStyle w:val="FirstParagraph"/>
      </w:pPr>
      <w:r>
        <w:rPr>
          <w:b/>
          <w:bCs/>
        </w:rPr>
        <w:t xml:space="preserve">Heritability = 0.3</w:t>
      </w:r>
    </w:p>
    <w:bookmarkEnd w:id="211"/>
    <w:bookmarkStart w:id="212" w:name="tables"/>
    <w:p>
      <w:pPr>
        <w:pStyle w:val="Heading2"/>
      </w:pPr>
      <w:r>
        <w:t xml:space="preserve">7.2 Tables</w:t>
      </w:r>
    </w:p>
    <w:p>
      <w:pPr>
        <w:pStyle w:val="TableCaption"/>
      </w:pPr>
      <w:r>
        <w:rPr>
          <w:b/>
          <w:bCs/>
        </w:rPr>
        <w:t xml:space="preserve">Table S1. Bootstrapped median performance metrics and 95% confidence intervals for calibration and test reefs.</w:t>
      </w:r>
    </w:p>
    <w:tbl>
      <w:tblPr>
        <w:tblStyle w:val="Table"/>
        <w:tblW w:type="auto" w:w="0"/>
        <w:tblLook w:firstRow="1" w:lastRow="0" w:firstColumn="0" w:lastColumn="0" w:noHBand="0" w:noVBand="0" w:val="0020"/>
        <w:tblCaption w:val="Table S1.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0.09]</w:t>
            </w:r>
          </w:p>
        </w:tc>
      </w:tr>
      <w:tr>
        <w:tc>
          <w:tcPr/>
          <w:p>
            <w:pPr>
              <w:pStyle w:val="Compact"/>
              <w:jc w:val="left"/>
            </w:pPr>
            <w:r>
              <w:t xml:space="preserve">ΔRMSE</w:t>
            </w:r>
          </w:p>
        </w:tc>
        <w:tc>
          <w:tcPr/>
          <w:p>
            <w:pPr>
              <w:pStyle w:val="Compact"/>
              <w:jc w:val="left"/>
            </w:pPr>
            <w:r>
              <w:t xml:space="preserve">0.02 [0.01, 0.04]</w:t>
            </w:r>
          </w:p>
        </w:tc>
        <w:tc>
          <w:tcPr/>
          <w:p>
            <w:pPr>
              <w:pStyle w:val="Compact"/>
              <w:jc w:val="left"/>
            </w:pPr>
            <w:r>
              <w:t xml:space="preserve">0.02 [-0.0, 0.05]</w:t>
            </w:r>
          </w:p>
        </w:tc>
      </w:tr>
      <w:tr>
        <w:tc>
          <w:tcPr/>
          <w:p>
            <w:pPr>
              <w:pStyle w:val="Compact"/>
              <w:jc w:val="left"/>
            </w:pPr>
            <w:r>
              <w:t xml:space="preserve">SRCC</w:t>
            </w:r>
          </w:p>
        </w:tc>
        <w:tc>
          <w:tcPr/>
          <w:p>
            <w:pPr>
              <w:pStyle w:val="Compact"/>
              <w:jc w:val="left"/>
            </w:pPr>
            <w:r>
              <w:t xml:space="preserve">0.77 [0.7, 0.82]</w:t>
            </w:r>
          </w:p>
        </w:tc>
        <w:tc>
          <w:tcPr/>
          <w:p>
            <w:pPr>
              <w:pStyle w:val="Compact"/>
              <w:jc w:val="left"/>
            </w:pPr>
            <w:r>
              <w:t xml:space="preserve">0.82 [0.55, 0.89]</w:t>
            </w:r>
          </w:p>
        </w:tc>
      </w:tr>
      <w:tr>
        <w:tc>
          <w:tcPr/>
          <w:p>
            <w:pPr>
              <w:pStyle w:val="Compact"/>
              <w:jc w:val="left"/>
            </w:pPr>
            <w:r>
              <w:t xml:space="preserve">Bias</w:t>
            </w:r>
          </w:p>
        </w:tc>
        <w:tc>
          <w:tcPr/>
          <w:p>
            <w:pPr>
              <w:pStyle w:val="Compact"/>
              <w:jc w:val="left"/>
            </w:pPr>
            <w:r>
              <w:t xml:space="preserve">-0.01 [-0.02, -0.0]</w:t>
            </w:r>
          </w:p>
        </w:tc>
        <w:tc>
          <w:tcPr/>
          <w:p>
            <w:pPr>
              <w:pStyle w:val="Compact"/>
              <w:jc w:val="left"/>
            </w:pPr>
            <w:r>
              <w:t xml:space="preserve">-0.01 [-0.03, 0.02]</w:t>
            </w:r>
          </w:p>
        </w:tc>
      </w:tr>
      <w:tr>
        <w:tc>
          <w:tcPr/>
          <w:p>
            <w:pPr>
              <w:pStyle w:val="Compact"/>
              <w:jc w:val="left"/>
            </w:pPr>
            <w:r>
              <w:t xml:space="preserve">|Bias|</w:t>
            </w:r>
          </w:p>
        </w:tc>
        <w:tc>
          <w:tcPr/>
          <w:p>
            <w:pPr>
              <w:pStyle w:val="Compact"/>
              <w:jc w:val="left"/>
            </w:pPr>
            <w:r>
              <w:t xml:space="preserve">0.03 [0.02, 0.04]</w:t>
            </w:r>
          </w:p>
        </w:tc>
        <w:tc>
          <w:tcPr/>
          <w:p>
            <w:pPr>
              <w:pStyle w:val="Compact"/>
              <w:jc w:val="left"/>
            </w:pPr>
            <w:r>
              <w:t xml:space="preserve">0.03 [0.02, 0.06]</w:t>
            </w:r>
          </w:p>
        </w:tc>
      </w:tr>
    </w:tbl>
    <w:p>
      <w:pPr>
        <w:pStyle w:val="BodyText"/>
      </w:pPr>
      <w:r>
        <w:t xml:space="preserve"> </w:t>
      </w:r>
    </w:p>
    <w:p>
      <w:pPr>
        <w:pStyle w:val="TableCaption"/>
      </w:pPr>
      <w:r>
        <w:rPr>
          <w:b/>
          <w:bCs/>
        </w:rPr>
        <w:t xml:space="preserve">Table S2.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2.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0.38 [0.19, 0.6]</w:t>
            </w:r>
          </w:p>
        </w:tc>
        <w:tc>
          <w:tcPr/>
          <w:p>
            <w:pPr>
              <w:pStyle w:val="Compact"/>
              <w:jc w:val="left"/>
            </w:pPr>
            <w:r>
              <w:t xml:space="preserve">-0.4 [-0.64, -0.22]</w:t>
            </w:r>
          </w:p>
        </w:tc>
        <w:tc>
          <w:tcPr/>
          <w:p>
            <w:pPr>
              <w:pStyle w:val="Compact"/>
              <w:jc w:val="left"/>
            </w:pPr>
            <w:r>
              <w:t xml:space="preserve">-0.42 [-0.63, -0.23]</w:t>
            </w:r>
          </w:p>
        </w:tc>
      </w:tr>
      <w:tr>
        <w:tc>
          <w:tcPr/>
          <w:p>
            <w:pPr>
              <w:pStyle w:val="Compact"/>
              <w:jc w:val="left"/>
            </w:pPr>
            <w:r>
              <w:t xml:space="preserve">ΔRMSE Test</w:t>
            </w:r>
          </w:p>
        </w:tc>
        <w:tc>
          <w:tcPr/>
          <w:p>
            <w:pPr>
              <w:pStyle w:val="Compact"/>
              <w:jc w:val="left"/>
            </w:pPr>
            <w:r>
              <w:t xml:space="preserve">0.44 [0.2, 0.79]</w:t>
            </w:r>
          </w:p>
        </w:tc>
        <w:tc>
          <w:tcPr/>
          <w:p>
            <w:pPr>
              <w:pStyle w:val="Compact"/>
              <w:jc w:val="left"/>
            </w:pPr>
            <w:r>
              <w:t xml:space="preserve">-0.38 [-0.75, -0.13]</w:t>
            </w:r>
          </w:p>
        </w:tc>
        <w:tc>
          <w:tcPr/>
          <w:p>
            <w:pPr>
              <w:pStyle w:val="Compact"/>
              <w:jc w:val="left"/>
            </w:pPr>
            <w:r>
              <w:t xml:space="preserve">-0.53 [-0.9, -0.28]</w:t>
            </w:r>
          </w:p>
        </w:tc>
      </w:tr>
      <w:tr>
        <w:tc>
          <w:tcPr/>
          <w:p>
            <w:pPr>
              <w:pStyle w:val="Compact"/>
              <w:jc w:val="left"/>
            </w:pPr>
            <w:r>
              <w:t xml:space="preserve">SRCC Calibration</w:t>
            </w:r>
          </w:p>
        </w:tc>
        <w:tc>
          <w:tcPr/>
          <w:p>
            <w:pPr>
              <w:pStyle w:val="Compact"/>
              <w:jc w:val="left"/>
            </w:pPr>
            <w:r>
              <w:t xml:space="preserve">0.24 [0.02, 0.49]</w:t>
            </w:r>
          </w:p>
        </w:tc>
        <w:tc>
          <w:tcPr/>
          <w:p>
            <w:pPr>
              <w:pStyle w:val="Compact"/>
              <w:jc w:val="left"/>
            </w:pPr>
            <w:r>
              <w:t xml:space="preserve">-0.26 [-0.5, -0.06]</w:t>
            </w:r>
          </w:p>
        </w:tc>
        <w:tc>
          <w:tcPr/>
          <w:p>
            <w:pPr>
              <w:pStyle w:val="Compact"/>
              <w:jc w:val="left"/>
            </w:pPr>
            <w:r>
              <w:t xml:space="preserve">-0.48 [-0.67, -0.3]</w:t>
            </w:r>
          </w:p>
        </w:tc>
      </w:tr>
      <w:tr>
        <w:tc>
          <w:tcPr/>
          <w:p>
            <w:pPr>
              <w:pStyle w:val="Compact"/>
              <w:jc w:val="left"/>
            </w:pPr>
            <w:r>
              <w:t xml:space="preserve">SRCC Test</w:t>
            </w:r>
          </w:p>
        </w:tc>
        <w:tc>
          <w:tcPr/>
          <w:p>
            <w:pPr>
              <w:pStyle w:val="Compact"/>
              <w:jc w:val="left"/>
            </w:pPr>
            <w:r>
              <w:t xml:space="preserve">0.4 [0.15, 0.78]</w:t>
            </w:r>
          </w:p>
        </w:tc>
        <w:tc>
          <w:tcPr/>
          <w:p>
            <w:pPr>
              <w:pStyle w:val="Compact"/>
              <w:jc w:val="left"/>
            </w:pPr>
            <w:r>
              <w:t xml:space="preserve">-0.34 [-0.71, -0.05]</w:t>
            </w:r>
          </w:p>
        </w:tc>
        <w:tc>
          <w:tcPr/>
          <w:p>
            <w:pPr>
              <w:pStyle w:val="Compact"/>
              <w:jc w:val="left"/>
            </w:pPr>
            <w:r>
              <w:t xml:space="preserve">-0.48 [-0.81, -0.25]</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2"/>
    <w:bookmarkStart w:id="213"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 (8S),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3"/>
    <w:bookmarkStart w:id="219"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4"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4"/>
    <w:bookmarkStart w:id="215"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5"/>
    <w:bookmarkStart w:id="216"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6"/>
    <w:bookmarkStart w:id="217"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7"/>
    <w:bookmarkStart w:id="218"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8"/>
    <w:bookmarkEnd w:id="219"/>
    <w:bookmarkStart w:id="233"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3"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1" name="Picture"/>
            <a:graphic>
              <a:graphicData uri="http://schemas.openxmlformats.org/drawingml/2006/picture">
                <pic:pic>
                  <pic:nvPicPr>
                    <pic:cNvPr descr="media/image7.png" id="222" name="Picture"/>
                    <pic:cNvPicPr>
                      <a:picLocks noChangeArrowheads="1" noChangeAspect="1"/>
                    </pic:cNvPicPr>
                  </pic:nvPicPr>
                  <pic:blipFill>
                    <a:blip r:embed="rId220"/>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3"/>
    <w:bookmarkStart w:id="224" w:name="objective-function"/>
    <w:p>
      <w:pPr>
        <w:pStyle w:val="Heading3"/>
      </w:pPr>
      <w:r>
        <w:t xml:space="preserve">7.5.2 Objective function</w:t>
      </w:r>
    </w:p>
    <w:p>
      <w:pPr>
        <w:pStyle w:val="FirstParagraph"/>
      </w:pPr>
      <w:r>
        <w:t xml:space="preserve">The objective function used to optimize the parameterization of CoralBlox has two components: a total cover error and a coral composition error. AIMS’ Long Term Monitoring Program (LTMP) Manta Tow data was used as the target reef coral cover levels, and coral composition data derived from AIMS’ LTMP photogrammetry data was used as the target coral composition levels.</w:t>
      </w:r>
    </w:p>
    <w:p>
      <w:pPr>
        <w:pStyle w:val="BodyText"/>
      </w:pPr>
      <w:r>
        <w:t xml:space="preserve">The total cover error combines a year-weighted mean absolute error over the calibration period with two further terms scoring how well each reef’s observed peak and trough in coral cover are reproduced. The per-year error, calculated across all reefs</w:t>
      </w:r>
      <w:r>
        <w:t xml:space="preserve"> </w:t>
      </w:r>
      <m:oMath>
        <m:r>
          <m:t>l</m:t>
        </m:r>
      </m:oMath>
      <w:r>
        <w:t xml:space="preserve"> </w:t>
      </w:r>
      <w:r>
        <w:t xml:space="preserve">with an observed value at year</w:t>
      </w:r>
      <w:r>
        <w:t xml:space="preserve"> </w:t>
      </w:r>
      <m:oMath>
        <m:r>
          <m:t>t</m:t>
        </m:r>
      </m:oMath>
      <w:r>
        <w:t xml:space="preserve"> </w:t>
      </w:r>
      <w:r>
        <w:t xml:space="preserve">(</w:t>
      </w:r>
      <m:oMath>
        <m:sSub>
          <m:e>
            <m:r>
              <m:t>L</m:t>
            </m:r>
          </m:e>
          <m:sub>
            <m:r>
              <m:t>t</m:t>
            </m:r>
          </m:sub>
        </m:sSub>
      </m:oMath>
      <w:r>
        <w:t xml:space="preserve">, with</w:t>
      </w:r>
      <w:r>
        <w:t xml:space="preserve"> </w:t>
      </w:r>
      <m:oMath>
        <m:sSub>
          <m:e>
            <m:r>
              <m:t>N</m:t>
            </m:r>
          </m:e>
          <m:sub>
            <m:r>
              <m:t>t</m:t>
            </m:r>
          </m:sub>
        </m:sSub>
        <m:r>
          <m:rPr>
            <m:sty m:val="p"/>
          </m:rPr>
          <m:t>=</m:t>
        </m:r>
        <m:d>
          <m:dPr>
            <m:begChr m:val="|"/>
            <m:sepChr m:val=""/>
            <m:endChr m:val="|"/>
            <m:grow/>
          </m:dPr>
          <m:e>
            <m:sSub>
              <m:e>
                <m:r>
                  <m:t>L</m:t>
                </m:r>
              </m:e>
              <m:sub>
                <m:r>
                  <m:t>t</m:t>
                </m:r>
              </m:sub>
            </m:sSub>
          </m:e>
        </m:d>
      </m:oMath>
      <w:r>
        <w:t xml:space="preserve"> </w:t>
      </w:r>
      <w:r>
        <w:t xml:space="preserve">reefs),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t</m:t>
                    </m:r>
                  </m:sub>
                </m:sSub>
                <m:r>
                  <m:rPr>
                    <m:sty m:val="p"/>
                  </m:rPr>
                  <m:t>=</m:t>
                </m:r>
                <m:f>
                  <m:fPr>
                    <m:type m:val="bar"/>
                  </m:fPr>
                  <m:num>
                    <m:r>
                      <m:t>1</m:t>
                    </m:r>
                  </m:num>
                  <m:den>
                    <m:sSub>
                      <m:e>
                        <m:r>
                          <m:t>N</m:t>
                        </m:r>
                      </m:e>
                      <m:sub>
                        <m:r>
                          <m:t>t</m:t>
                        </m:r>
                      </m:sub>
                    </m:sSub>
                  </m:den>
                </m:f>
                <m:nary>
                  <m:naryPr>
                    <m:chr m:val="∑"/>
                    <m:limLoc m:val="undOvr"/>
                    <m:subHide m:val="off"/>
                    <m:supHide m:val="on"/>
                  </m:naryPr>
                  <m:sub>
                    <m:r>
                      <m:t>l</m:t>
                    </m:r>
                    <m:r>
                      <m:rPr>
                        <m:sty m:val="p"/>
                      </m:rPr>
                      <m:t>∈</m:t>
                    </m:r>
                    <m:sSub>
                      <m:e>
                        <m:r>
                          <m:t>L</m:t>
                        </m:r>
                      </m:e>
                      <m:sub>
                        <m:r>
                          <m:t>t</m:t>
                        </m:r>
                      </m:sub>
                    </m:sSub>
                  </m:sub>
                  <m:sup>
                    <m:r>
                      <m:t>​</m:t>
                    </m:r>
                  </m:sup>
                  <m:e>
                    <m:d>
                      <m:dPr>
                        <m:begChr m:val="|"/>
                        <m:sepChr m:val=""/>
                        <m:endChr m:val="|"/>
                        <m:grow/>
                      </m:dPr>
                      <m:e>
                        <m:sSub>
                          <m:e>
                            <m:r>
                              <m:t>y</m:t>
                            </m:r>
                          </m:e>
                          <m:sub>
                            <m:r>
                              <m:t>t</m:t>
                            </m:r>
                            <m:r>
                              <m:rPr>
                                <m:sty m:val="p"/>
                              </m:rPr>
                              <m:t>,</m:t>
                            </m:r>
                            <m:r>
                              <m:t>l</m:t>
                            </m:r>
                          </m:sub>
                        </m:sSub>
                        <m:r>
                          <m:rPr>
                            <m:sty m:val="p"/>
                          </m:rPr>
                          <m:t>−</m:t>
                        </m:r>
                        <m:sSub>
                          <m:e>
                            <m:acc>
                              <m:accPr>
                                <m:chr m:val="̂"/>
                              </m:accPr>
                              <m:e>
                                <m:r>
                                  <m:t>y</m:t>
                                </m:r>
                              </m:e>
                            </m:acc>
                          </m:e>
                          <m:sub>
                            <m:r>
                              <m:t>t</m:t>
                            </m:r>
                            <m:r>
                              <m:rPr>
                                <m:sty m:val="p"/>
                              </m:rPr>
                              <m:t>,</m:t>
                            </m:r>
                            <m:r>
                              <m:t>l</m:t>
                            </m:r>
                          </m:sub>
                        </m:sSub>
                      </m:e>
                    </m:d>
                  </m:e>
                </m:nary>
              </m:oMath>
            </m:oMathPara>
          </w:p>
        </w:tc>
        <w:tc>
          <w:tcPr/>
          <w:p>
            <w:pPr>
              <w:pStyle w:val="Compact"/>
            </w:pPr>
            <w:r>
              <w:t xml:space="preserve">(21S)</w:t>
            </w:r>
          </w:p>
        </w:tc>
      </w:tr>
    </w:tbl>
    <w:p>
      <w:pPr>
        <w:pStyle w:val="BodyText"/>
      </w:pPr>
      <w:r>
        <w:t xml:space="preserve">Because CoralBlox is run forward from its initial cover without re-anchoring to observations, error compounds over the course of a simulation. Later years, and years with more reporting reefs, are therefore weighted more heavily when combining the per-year errors into a single reef performance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f>
                  <m:fPr>
                    <m:type m:val="bar"/>
                  </m:fPr>
                  <m:num>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r>
                          <m:rPr>
                            <m:sty m:val="p"/>
                          </m:rPr>
                          <m:t>⋅</m:t>
                        </m:r>
                        <m:r>
                          <m:t>E</m:t>
                        </m:r>
                        <m:r>
                          <m:t>r</m:t>
                        </m:r>
                        <m:sSub>
                          <m:e>
                            <m:r>
                              <m:t>r</m:t>
                            </m:r>
                          </m:e>
                          <m:sub>
                            <m:r>
                              <m:t>t</m:t>
                            </m:r>
                          </m:sub>
                        </m:sSub>
                      </m:e>
                    </m:nary>
                  </m:num>
                  <m:den>
                    <m:nary>
                      <m:naryPr>
                        <m:chr m:val="∑"/>
                        <m:limLoc m:val="undOvr"/>
                        <m:subHide m:val="off"/>
                        <m:supHide m:val="on"/>
                      </m:naryPr>
                      <m:sub>
                        <m:r>
                          <m:t>t</m:t>
                        </m:r>
                        <m:r>
                          <m:rPr>
                            <m:sty m:val="p"/>
                          </m:rPr>
                          <m:t>:</m:t>
                        </m:r>
                        <m:r>
                          <m:t> </m:t>
                        </m:r>
                        <m:sSub>
                          <m:e>
                            <m:r>
                              <m:t>N</m:t>
                            </m:r>
                          </m:e>
                          <m:sub>
                            <m:r>
                              <m:t>t</m:t>
                            </m:r>
                          </m:sub>
                        </m:sSub>
                        <m:r>
                          <m:rPr>
                            <m:sty m:val="p"/>
                          </m:rPr>
                          <m:t>&gt;</m:t>
                        </m:r>
                        <m:r>
                          <m:t>0</m:t>
                        </m:r>
                      </m:sub>
                      <m:sup>
                        <m:r>
                          <m:t>​</m:t>
                        </m:r>
                      </m:sup>
                      <m:e>
                        <m:sSub>
                          <m:e>
                            <m:r>
                              <m:t>w</m:t>
                            </m:r>
                          </m:e>
                          <m:sub>
                            <m:r>
                              <m:t>t</m:t>
                            </m:r>
                          </m:sub>
                        </m:sSub>
                      </m:e>
                    </m:nary>
                  </m:den>
                </m:f>
              </m:oMath>
            </m:oMathPara>
          </w:p>
          <w:p>
            <w:pPr>
              <w:pStyle w:val="Compact"/>
            </w:pPr>
            <m:oMathPara>
              <m:oMathParaPr>
                <m:jc m:val="center"/>
              </m:oMathParaPr>
              <m:oMath>
                <m:sSub>
                  <m:e>
                    <m:r>
                      <m:t>w</m:t>
                    </m:r>
                  </m:e>
                  <m:sub>
                    <m:r>
                      <m:t>t</m:t>
                    </m:r>
                  </m:sub>
                </m:sSub>
                <m:r>
                  <m:rPr>
                    <m:sty m:val="p"/>
                  </m:rPr>
                  <m:t>=</m:t>
                </m:r>
                <m:r>
                  <m:t>t</m:t>
                </m:r>
                <m:r>
                  <m:rPr>
                    <m:sty m:val="p"/>
                  </m:rPr>
                  <m:t>⋅</m:t>
                </m:r>
                <m:rad>
                  <m:radPr>
                    <m:degHide m:val="on"/>
                  </m:radPr>
                  <m:deg/>
                  <m:e>
                    <m:sSub>
                      <m:e>
                        <m:r>
                          <m:t>N</m:t>
                        </m:r>
                      </m:e>
                      <m:sub>
                        <m:r>
                          <m:t>t</m:t>
                        </m:r>
                      </m:sub>
                    </m:sSub>
                  </m:e>
                </m:rad>
              </m:oMath>
            </m:oMathPara>
          </w:p>
        </w:tc>
        <w:tc>
          <w:tcPr/>
          <w:p>
            <w:pPr>
              <w:pStyle w:val="Compact"/>
            </w:pPr>
            <w:r>
              <w:t xml:space="preserve">(22S)</w:t>
            </w:r>
          </w:p>
        </w:tc>
      </w:tr>
    </w:tbl>
    <w:p>
      <w:pPr>
        <w:pStyle w:val="BodyText"/>
      </w:pPr>
      <w:r>
        <w:t xml:space="preserve">where</w:t>
      </w:r>
      <w:r>
        <w:t xml:space="preserve"> </w:t>
      </w:r>
      <m:oMath>
        <m:r>
          <m:t>t</m:t>
        </m:r>
      </m:oMath>
      <w:r>
        <w:t xml:space="preserve"> </w:t>
      </w:r>
      <w:r>
        <w:t xml:space="preserve">is the year index (1 for the first calibration year, increasing thereafter), and reefs surveyed in the same year are assumed not to fail independently of one another, so</w:t>
      </w:r>
      <w:r>
        <w:t xml:space="preserve"> </w:t>
      </w:r>
      <m:oMath>
        <m:sSub>
          <m:e>
            <m:r>
              <m:t>N</m:t>
            </m:r>
          </m:e>
          <m:sub>
            <m:r>
              <m:t>t</m:t>
            </m:r>
          </m:sub>
        </m:sSub>
      </m:oMath>
      <w:r>
        <w:t xml:space="preserve"> </w:t>
      </w:r>
      <w:r>
        <w:t xml:space="preserve">enters as</w:t>
      </w:r>
      <w:r>
        <w:t xml:space="preserve"> </w:t>
      </w:r>
      <m:oMath>
        <m:rad>
          <m:radPr>
            <m:degHide m:val="on"/>
          </m:radPr>
          <m:deg/>
          <m:e>
            <m:sSub>
              <m:e>
                <m:r>
                  <m:t>N</m:t>
                </m:r>
              </m:e>
              <m:sub>
                <m:r>
                  <m:t>t</m:t>
                </m:r>
              </m:sub>
            </m:sSub>
          </m:e>
        </m:rad>
      </m:oMath>
      <w:r>
        <w:t xml:space="preserve"> </w:t>
      </w:r>
      <w:r>
        <w:t xml:space="preserve">rather than linearly. Years with no reporting reefs are excluded from Eq. (22S).</w:t>
      </w:r>
    </w:p>
    <w:p>
      <w:pPr>
        <w:pStyle w:val="BodyText"/>
      </w:pPr>
      <w:r>
        <w:t xml:space="preserve">Modelled coral composition data derived from LTMP photogrammetry data was used to inform the initial coral composition at specific locations and as the target coral composition for subsequent historic years. Coral composition data was not recorded at all locations where manta tow coral cover levels are recorded; the assumption is that composition at fixed-site photogrammetry locations is representative of composition at nearby manta tow locations. Compositional mismatch between simulated and observed functional group cover was calculated using Bray-Curtis dissimilarity between the observed (</w:t>
      </w:r>
      <m:oMath>
        <m:sSub>
          <m:e>
            <m:r>
              <m:t>c</m:t>
            </m:r>
          </m:e>
          <m:sub>
            <m:r>
              <m:t>t</m:t>
            </m:r>
            <m:r>
              <m:rPr>
                <m:sty m:val="p"/>
              </m:rPr>
              <m:t>,</m:t>
            </m:r>
            <m:r>
              <m:t>g</m:t>
            </m:r>
            <m:r>
              <m:rPr>
                <m:sty m:val="p"/>
              </m:rPr>
              <m:t>,</m:t>
            </m:r>
            <m:r>
              <m:t>l</m:t>
            </m:r>
          </m:sub>
        </m:sSub>
      </m:oMath>
      <w:r>
        <w:t xml:space="preserve">) and modelled (</w:t>
      </w:r>
      <m:oMath>
        <m:sSub>
          <m:e>
            <m:acc>
              <m:accPr>
                <m:chr m:val="̂"/>
              </m:accPr>
              <m:e>
                <m:r>
                  <m:t>c</m:t>
                </m:r>
              </m:e>
            </m:acc>
          </m:e>
          <m:sub>
            <m:r>
              <m:t>t</m:t>
            </m:r>
            <m:r>
              <m:rPr>
                <m:sty m:val="p"/>
              </m:rPr>
              <m:t>,</m:t>
            </m:r>
            <m:r>
              <m:t>g</m:t>
            </m:r>
            <m:r>
              <m:rPr>
                <m:sty m:val="p"/>
              </m:rPr>
              <m:t>,</m:t>
            </m:r>
            <m:r>
              <m:t>l</m:t>
            </m:r>
          </m:sub>
        </m:sSub>
      </m:oMath>
      <w:r>
        <w:t xml:space="preserve">) proportional cover of each functional group</w:t>
      </w:r>
      <w:r>
        <w:t xml:space="preserve"> </w:t>
      </w:r>
      <m:oMath>
        <m:r>
          <m:t>g</m:t>
        </m:r>
      </m:oMath>
      <w:r>
        <w:t xml:space="preserve">, and averaged into a single Coral Composition Error (CCE). Bray-Curtis dissimilarity was used in preference to a correlation-based measure for two reasons: a correlation coefficient computed across only five functional groups is statistically unstable, and functional group proportions are compositional (closure-bound, summing to one), which makes correlation among them prone to spurious signal regardless of sample size. Bray-Curtis compares the two composition vectors directly, without any correlation or sampling estimation step, so neither issue applies: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B</m:t>
                </m:r>
                <m:sSub>
                  <m:e>
                    <m:r>
                      <m:t>C</m:t>
                    </m:r>
                  </m:e>
                  <m:sub>
                    <m:r>
                      <m:t>t</m:t>
                    </m:r>
                    <m:r>
                      <m:rPr>
                        <m:sty m:val="p"/>
                      </m:rPr>
                      <m:t>,</m:t>
                    </m:r>
                    <m:r>
                      <m:t>l</m:t>
                    </m:r>
                  </m:sub>
                </m:sSub>
                <m:r>
                  <m:rPr>
                    <m:sty m:val="p"/>
                  </m:rPr>
                  <m:t>=</m:t>
                </m:r>
                <m:f>
                  <m:fPr>
                    <m:type m:val="bar"/>
                  </m:fPr>
                  <m:num>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num>
                  <m:den>
                    <m:nary>
                      <m:naryPr>
                        <m:chr m:val="∑"/>
                        <m:limLoc m:val="undOvr"/>
                        <m:subHide m:val="off"/>
                        <m:supHide m:val="on"/>
                      </m:naryPr>
                      <m:sub>
                        <m:r>
                          <m:t>g</m:t>
                        </m:r>
                      </m:sub>
                      <m:sup>
                        <m:r>
                          <m:t>​</m:t>
                        </m:r>
                      </m:sup>
                      <m:e>
                        <m:d>
                          <m:dPr>
                            <m:begChr m:val="("/>
                            <m:sepChr m:val=""/>
                            <m:endChr m:val=")"/>
                            <m:grow/>
                          </m:dPr>
                          <m:e>
                            <m:sSub>
                              <m:e>
                                <m:r>
                                  <m:t>c</m:t>
                                </m:r>
                              </m:e>
                              <m:sub>
                                <m:r>
                                  <m:t>t</m:t>
                                </m:r>
                                <m:r>
                                  <m:rPr>
                                    <m:sty m:val="p"/>
                                  </m:rPr>
                                  <m:t>,</m:t>
                                </m:r>
                                <m:r>
                                  <m:t>g</m:t>
                                </m:r>
                                <m:r>
                                  <m:rPr>
                                    <m:sty m:val="p"/>
                                  </m:rPr>
                                  <m:t>,</m:t>
                                </m:r>
                                <m:r>
                                  <m:t>l</m:t>
                                </m:r>
                              </m:sub>
                            </m:sSub>
                            <m:r>
                              <m:rPr>
                                <m:sty m:val="p"/>
                              </m:rPr>
                              <m:t>+</m:t>
                            </m:r>
                            <m:sSub>
                              <m:e>
                                <m:acc>
                                  <m:accPr>
                                    <m:chr m:val="̂"/>
                                  </m:accPr>
                                  <m:e>
                                    <m:r>
                                      <m:t>c</m:t>
                                    </m:r>
                                  </m:e>
                                </m:acc>
                              </m:e>
                              <m:sub>
                                <m:r>
                                  <m:t>t</m:t>
                                </m:r>
                                <m:r>
                                  <m:rPr>
                                    <m:sty m:val="p"/>
                                  </m:rPr>
                                  <m:t>,</m:t>
                                </m:r>
                                <m:r>
                                  <m:t>g</m:t>
                                </m:r>
                                <m:r>
                                  <m:rPr>
                                    <m:sty m:val="p"/>
                                  </m:rPr>
                                  <m:t>,</m:t>
                                </m:r>
                                <m:r>
                                  <m:t>l</m:t>
                                </m:r>
                              </m:sub>
                            </m:sSub>
                          </m:e>
                        </m:d>
                      </m:e>
                    </m:nary>
                  </m:den>
                </m:f>
              </m:oMath>
            </m:oMathPara>
          </w:p>
          <w:p>
            <w:pPr>
              <w:pStyle w:val="Compact"/>
            </w:pPr>
            <m:oMathPara>
              <m:oMathParaPr>
                <m:jc m:val="center"/>
              </m:oMathParaPr>
              <m:oMath>
                <m:r>
                  <m:t>C</m:t>
                </m:r>
                <m:r>
                  <m:t>C</m:t>
                </m:r>
                <m:r>
                  <m:t>E</m:t>
                </m:r>
                <m:r>
                  <m:rPr>
                    <m:sty m:val="p"/>
                  </m:rPr>
                  <m:t>=</m:t>
                </m:r>
                <m:f>
                  <m:fPr>
                    <m:type m:val="bar"/>
                  </m:fPr>
                  <m:num>
                    <m:r>
                      <m:t>1</m:t>
                    </m:r>
                  </m:num>
                  <m:den>
                    <m:d>
                      <m:dPr>
                        <m:begChr m:val="|"/>
                        <m:sepChr m:val=""/>
                        <m:endChr m:val="|"/>
                        <m:grow/>
                      </m:dPr>
                      <m:e>
                        <m:sSup>
                          <m:e>
                            <m:r>
                              <m:t>L</m:t>
                            </m:r>
                          </m:e>
                          <m:sup>
                            <m:r>
                              <m:rPr>
                                <m:nor/>
                                <m:sty m:val="b"/>
                              </m:rPr>
                              <m:t>comp</m:t>
                            </m:r>
                          </m:sup>
                        </m:sSup>
                      </m:e>
                    </m:d>
                  </m:den>
                </m:f>
                <m:nary>
                  <m:naryPr>
                    <m:chr m:val="∑"/>
                    <m:limLoc m:val="undOvr"/>
                    <m:subHide m:val="off"/>
                    <m:supHide m:val="on"/>
                  </m:naryPr>
                  <m:sub>
                    <m:r>
                      <m:t>l</m:t>
                    </m:r>
                    <m:r>
                      <m:rPr>
                        <m:sty m:val="p"/>
                      </m:rPr>
                      <m:t>∈</m:t>
                    </m:r>
                    <m:sSup>
                      <m:e>
                        <m:r>
                          <m:t>L</m:t>
                        </m:r>
                      </m:e>
                      <m:sup>
                        <m:r>
                          <m:rPr>
                            <m:nor/>
                            <m:sty m:val="b"/>
                          </m:rPr>
                          <m:t>comp</m:t>
                        </m:r>
                      </m:sup>
                    </m:sSup>
                  </m:sub>
                  <m:sup>
                    <m:r>
                      <m:t>​</m:t>
                    </m:r>
                  </m:sup>
                  <m:e>
                    <m:r>
                      <m:t>C</m:t>
                    </m:r>
                    <m:r>
                      <m:t>C</m:t>
                    </m:r>
                    <m:sSub>
                      <m:e>
                        <m:r>
                          <m:t>E</m:t>
                        </m:r>
                      </m:e>
                      <m:sub>
                        <m:r>
                          <m:t>l</m:t>
                        </m:r>
                      </m:sub>
                    </m:sSub>
                  </m:e>
                </m:nary>
              </m:oMath>
            </m:oMathPara>
          </w:p>
        </w:tc>
        <w:tc>
          <w:tcPr/>
          <w:p>
            <w:pPr>
              <w:pStyle w:val="Compact"/>
            </w:pPr>
            <w:r>
              <w:t xml:space="preserve">(23S)</w:t>
            </w:r>
          </w:p>
        </w:tc>
      </w:tr>
    </w:tbl>
    <w:p>
      <w:pPr>
        <w:pStyle w:val="BodyText"/>
      </w:pPr>
      <w:r>
        <w:t xml:space="preserve">where</w:t>
      </w:r>
      <w:r>
        <w:t xml:space="preserve"> </w:t>
      </w:r>
      <m:oMath>
        <m:r>
          <m:t>C</m:t>
        </m:r>
        <m:r>
          <m:t>C</m:t>
        </m:r>
        <m:sSub>
          <m:e>
            <m:r>
              <m:t>E</m:t>
            </m:r>
          </m:e>
          <m:sub>
            <m:r>
              <m:t>l</m:t>
            </m:r>
          </m:sub>
        </m:sSub>
      </m:oMath>
      <w:r>
        <w:t xml:space="preserve"> </w:t>
      </w:r>
      <w:r>
        <w:t xml:space="preserve">is the mean of</w:t>
      </w:r>
      <w:r>
        <w:t xml:space="preserve"> </w:t>
      </w:r>
      <m:oMath>
        <m:r>
          <m:t>B</m:t>
        </m:r>
        <m:sSub>
          <m:e>
            <m:r>
              <m:t>C</m:t>
            </m:r>
          </m:e>
          <m:sub>
            <m:r>
              <m:t>t</m:t>
            </m:r>
            <m:r>
              <m:rPr>
                <m:sty m:val="p"/>
              </m:rPr>
              <m:t>,</m:t>
            </m:r>
            <m:r>
              <m:t>l</m:t>
            </m:r>
          </m:sub>
        </m:sSub>
      </m:oMath>
      <w:r>
        <w:t xml:space="preserve"> </w:t>
      </w:r>
      <w:r>
        <w:t xml:space="preserve">over the years at reef</w:t>
      </w:r>
      <w:r>
        <w:t xml:space="preserve"> </w:t>
      </w:r>
      <m:oMath>
        <m:r>
          <m:t>l</m:t>
        </m:r>
      </m:oMath>
      <w:r>
        <w:t xml:space="preserve"> </w:t>
      </w:r>
      <w:r>
        <w:t xml:space="preserve">where all functional groups’ composition was observed, and</w:t>
      </w:r>
      <w:r>
        <w:t xml:space="preserve"> </w:t>
      </w:r>
      <m:oMath>
        <m:sSup>
          <m:e>
            <m:r>
              <m:t>L</m:t>
            </m:r>
          </m:e>
          <m:sup>
            <m:r>
              <m:rPr>
                <m:nor/>
                <m:sty m:val="b"/>
              </m:rPr>
              <m:t>comp</m:t>
            </m:r>
          </m:sup>
        </m:sSup>
      </m:oMath>
      <w:r>
        <w:t xml:space="preserve"> </w:t>
      </w:r>
      <w:r>
        <w:t xml:space="preserve">is the set of reefs with composition data. Reefs with no year of fully observed composition data are assigned a neutral</w:t>
      </w:r>
      <w:r>
        <w:t xml:space="preserve"> </w:t>
      </w:r>
      <m:oMath>
        <m:r>
          <m:t>C</m:t>
        </m:r>
        <m:r>
          <m:t>C</m:t>
        </m:r>
        <m:sSub>
          <m:e>
            <m:r>
              <m:t>E</m:t>
            </m:r>
          </m:e>
          <m:sub>
            <m:r>
              <m:t>l</m:t>
            </m:r>
          </m:sub>
        </m:sSub>
      </m:oMath>
      <w:r>
        <w:t xml:space="preserve"> </w:t>
      </w:r>
      <w:r>
        <w:t xml:space="preserve">of 0.5 rather than being excluded from the mean.</w:t>
      </w:r>
    </w:p>
    <w:p>
      <w:pPr>
        <w:pStyle w:val="BodyText"/>
      </w:pPr>
      <w:r>
        <w:t xml:space="preserve">Finally, emphasis is placed on minimizing error at the peak and trough of each reef’s observed coral cover trajectory. For each reef</w:t>
      </w:r>
      <w:r>
        <w:t xml:space="preserve"> </w:t>
      </w:r>
      <m:oMath>
        <m:r>
          <m:t>l</m:t>
        </m:r>
      </m:oMath>
      <w:r>
        <w:t xml:space="preserve">, let</w:t>
      </w:r>
      <w:r>
        <w:t xml:space="preserve"> </w:t>
      </w:r>
      <m:oMath>
        <m:sSubSup>
          <m:e>
            <m:r>
              <m:t>t</m:t>
            </m:r>
          </m:e>
          <m:sub>
            <m:r>
              <m:t>l</m:t>
            </m:r>
          </m:sub>
          <m:sup>
            <m:r>
              <m:rPr>
                <m:nor/>
                <m:sty m:val="b"/>
              </m:rPr>
              <m:t>peak</m:t>
            </m:r>
          </m:sup>
        </m:sSubSup>
      </m:oMath>
      <w:r>
        <w:t xml:space="preserve"> </w:t>
      </w:r>
      <w:r>
        <w:t xml:space="preserve">and</w:t>
      </w:r>
      <w:r>
        <w:t xml:space="preserve"> </w:t>
      </w:r>
      <m:oMath>
        <m:sSubSup>
          <m:e>
            <m:r>
              <m:t>t</m:t>
            </m:r>
          </m:e>
          <m:sub>
            <m:r>
              <m:t>l</m:t>
            </m:r>
          </m:sub>
          <m:sup>
            <m:r>
              <m:rPr>
                <m:nor/>
                <m:sty m:val="b"/>
              </m:rPr>
              <m:t>trough</m:t>
            </m:r>
          </m:sup>
        </m:sSubSup>
      </m:oMath>
      <w:r>
        <w:t xml:space="preserve"> </w:t>
      </w:r>
      <w:r>
        <w:t xml:space="preserve">be the years of that reef’s highest and lowest observed coral cover, respectively; the error at these points is calculated using mean absolute error across all reefs</w:t>
      </w:r>
      <w:r>
        <w:t xml:space="preserve"> </w:t>
      </w:r>
      <m:oMath>
        <m:r>
          <m:t>L</m:t>
        </m:r>
      </m:oMath>
      <w:r>
        <w:t xml:space="preserve"> </w:t>
      </w:r>
      <w:r>
        <w:t xml:space="preserve">with at least one observation:</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c</m:t>
                    </m:r>
                  </m:sub>
                </m:sSub>
                <m:r>
                  <m:rPr>
                    <m:sty m:val="p"/>
                  </m:rPr>
                  <m:t>=</m:t>
                </m:r>
                <m:f>
                  <m:fPr>
                    <m:type m:val="bar"/>
                  </m:fPr>
                  <m:num>
                    <m:r>
                      <m:t>1</m:t>
                    </m:r>
                  </m:num>
                  <m:den>
                    <m:d>
                      <m:dPr>
                        <m:begChr m:val="|"/>
                        <m:sepChr m:val=""/>
                        <m:endChr m:val="|"/>
                        <m:grow/>
                      </m:dPr>
                      <m:e>
                        <m:r>
                          <m:t>L</m:t>
                        </m:r>
                      </m:e>
                    </m:d>
                  </m:den>
                </m:f>
                <m:nary>
                  <m:naryPr>
                    <m:chr m:val="∑"/>
                    <m:limLoc m:val="undOvr"/>
                    <m:subHide m:val="off"/>
                    <m:supHide m:val="on"/>
                  </m:naryPr>
                  <m:sub>
                    <m:r>
                      <m:t>l</m:t>
                    </m:r>
                    <m:r>
                      <m:rPr>
                        <m:sty m:val="p"/>
                      </m:rPr>
                      <m:t>∈</m:t>
                    </m:r>
                    <m:r>
                      <m:t>L</m:t>
                    </m:r>
                  </m:sub>
                  <m:sup>
                    <m:r>
                      <m:t>​</m:t>
                    </m:r>
                  </m:sup>
                  <m:e>
                    <m:d>
                      <m:dPr>
                        <m:begChr m:val="|"/>
                        <m:sepChr m:val=""/>
                        <m:endChr m:val="|"/>
                        <m:grow/>
                      </m:dPr>
                      <m:e>
                        <m:sSub>
                          <m:e>
                            <m:acc>
                              <m:accPr>
                                <m:chr m:val="̂"/>
                              </m:accPr>
                              <m:e>
                                <m:r>
                                  <m:t>y</m:t>
                                </m:r>
                              </m:e>
                            </m:acc>
                          </m:e>
                          <m:sub>
                            <m:sSubSup>
                              <m:e>
                                <m:r>
                                  <m:t>t</m:t>
                                </m:r>
                              </m:e>
                              <m:sub>
                                <m:r>
                                  <m:t>l</m:t>
                                </m:r>
                              </m:sub>
                              <m:sup>
                                <m:r>
                                  <m:t>c</m:t>
                                </m:r>
                              </m:sup>
                            </m:sSubSup>
                            <m:r>
                              <m:rPr>
                                <m:sty m:val="p"/>
                              </m:rPr>
                              <m:t>,</m:t>
                            </m:r>
                            <m:r>
                              <m:t>l</m:t>
                            </m:r>
                          </m:sub>
                        </m:sSub>
                        <m:r>
                          <m:rPr>
                            <m:sty m:val="p"/>
                          </m:rPr>
                          <m:t>−</m:t>
                        </m:r>
                        <m:sSub>
                          <m:e>
                            <m:r>
                              <m:t>y</m:t>
                            </m:r>
                          </m:e>
                          <m:sub>
                            <m:sSubSup>
                              <m:e>
                                <m:r>
                                  <m:t>t</m:t>
                                </m:r>
                              </m:e>
                              <m:sub>
                                <m:r>
                                  <m:t>l</m:t>
                                </m:r>
                              </m:sub>
                              <m:sup>
                                <m:r>
                                  <m:t>c</m:t>
                                </m:r>
                              </m:sup>
                            </m:sSubSup>
                            <m:r>
                              <m:rPr>
                                <m:sty m:val="p"/>
                              </m:rPr>
                              <m:t>,</m:t>
                            </m:r>
                            <m:r>
                              <m:t>l</m:t>
                            </m:r>
                          </m:sub>
                        </m:sSub>
                      </m:e>
                    </m:d>
                  </m:e>
                </m:nary>
                <m:r>
                  <m:rPr>
                    <m:sty m:val="p"/>
                  </m:rPr>
                  <m:t>,</m:t>
                </m:r>
                <m:r>
                  <m:t> </m:t>
                </m:r>
                <m:r>
                  <m:t> </m:t>
                </m:r>
                <m:r>
                  <m:t>c</m:t>
                </m:r>
                <m:r>
                  <m:rPr>
                    <m:sty m:val="p"/>
                  </m:rPr>
                  <m:t>∈</m:t>
                </m:r>
                <m:d>
                  <m:dPr>
                    <m:begChr m:val="{"/>
                    <m:sepChr m:val=""/>
                    <m:endChr m:val="}"/>
                    <m:grow/>
                  </m:dPr>
                  <m:e>
                    <m:r>
                      <m:t>p</m:t>
                    </m:r>
                    <m:r>
                      <m:t>e</m:t>
                    </m:r>
                    <m:r>
                      <m:t>a</m:t>
                    </m:r>
                    <m:r>
                      <m:t>k</m:t>
                    </m:r>
                    <m:r>
                      <m:rPr>
                        <m:sty m:val="p"/>
                      </m:rPr>
                      <m:t>,</m:t>
                    </m:r>
                    <m:r>
                      <m:t> </m:t>
                    </m:r>
                    <m:r>
                      <m:t>t</m:t>
                    </m:r>
                    <m:r>
                      <m:t>r</m:t>
                    </m:r>
                    <m:r>
                      <m:t>o</m:t>
                    </m:r>
                    <m:r>
                      <m:t>u</m:t>
                    </m:r>
                    <m:r>
                      <m:t>g</m:t>
                    </m:r>
                    <m:r>
                      <m:t>h</m:t>
                    </m:r>
                  </m:e>
                </m:d>
              </m:oMath>
            </m:oMathPara>
          </w:p>
        </w:tc>
        <w:tc>
          <w:tcPr/>
          <w:p>
            <w:pPr>
              <w:pStyle w:val="Compact"/>
            </w:pPr>
            <w:r>
              <w:t xml:space="preserve">(24S)</w:t>
            </w:r>
          </w:p>
        </w:tc>
      </w:tr>
    </w:tbl>
    <w:p>
      <w:pPr>
        <w:pStyle w:val="BodyText"/>
      </w:pPr>
      <w:r>
        <w:t xml:space="preserve">The objective function is then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rPr>
                        <m:nor/>
                        <m:sty m:val="b"/>
                      </m:rPr>
                      <m:t>reef</m:t>
                    </m:r>
                  </m:sub>
                </m:sSub>
                <m:r>
                  <m:rPr>
                    <m:sty m:val="p"/>
                  </m:rPr>
                  <m:t>+</m:t>
                </m:r>
                <m:r>
                  <m:t>0.5</m:t>
                </m:r>
                <m:r>
                  <m:rPr>
                    <m:sty m:val="p"/>
                  </m:rPr>
                  <m:t>⋅</m:t>
                </m:r>
                <m:r>
                  <m:t>E</m:t>
                </m:r>
                <m:r>
                  <m:t>r</m:t>
                </m:r>
                <m:sSub>
                  <m:e>
                    <m:r>
                      <m:t>r</m:t>
                    </m:r>
                  </m:e>
                  <m:sub>
                    <m:r>
                      <m:rPr>
                        <m:nor/>
                        <m:sty m:val="b"/>
                      </m:rPr>
                      <m:t>peak</m:t>
                    </m:r>
                  </m:sub>
                </m:sSub>
                <m:r>
                  <m:rPr>
                    <m:sty m:val="p"/>
                  </m:rPr>
                  <m:t>+</m:t>
                </m:r>
                <m:r>
                  <m:t>0.5</m:t>
                </m:r>
                <m:r>
                  <m:rPr>
                    <m:sty m:val="p"/>
                  </m:rPr>
                  <m:t>⋅</m:t>
                </m:r>
                <m:r>
                  <m:t>E</m:t>
                </m:r>
                <m:r>
                  <m:t>r</m:t>
                </m:r>
                <m:sSub>
                  <m:e>
                    <m:r>
                      <m:t>r</m:t>
                    </m:r>
                  </m:e>
                  <m:sub>
                    <m:r>
                      <m:rPr>
                        <m:nor/>
                        <m:sty m:val="b"/>
                      </m:rPr>
                      <m:t>trough</m:t>
                    </m:r>
                  </m:sub>
                </m:sSub>
                <m:r>
                  <m:rPr>
                    <m:sty m:val="p"/>
                  </m:rPr>
                  <m:t>+</m:t>
                </m:r>
                <m:r>
                  <m:t>2.0</m:t>
                </m:r>
                <m:r>
                  <m:rPr>
                    <m:sty m:val="p"/>
                  </m:rPr>
                  <m:t>⋅</m:t>
                </m:r>
                <m:r>
                  <m:t>C</m:t>
                </m:r>
                <m:r>
                  <m:t>C</m:t>
                </m:r>
                <m:r>
                  <m:t>E</m:t>
                </m:r>
              </m:oMath>
            </m:oMathPara>
          </w:p>
        </w:tc>
        <w:tc>
          <w:tcPr/>
          <w:p>
            <w:pPr>
              <w:pStyle w:val="Compact"/>
            </w:pPr>
            <w:r>
              <w:t xml:space="preserve">(25S)</w:t>
            </w:r>
          </w:p>
        </w:tc>
      </w:tr>
    </w:tbl>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4"/>
    <w:bookmarkStart w:id="228"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6" name="Picture"/>
            <a:graphic>
              <a:graphicData uri="http://schemas.openxmlformats.org/drawingml/2006/picture">
                <pic:pic>
                  <pic:nvPicPr>
                    <pic:cNvPr descr="../figures/S02_dhw_per_reef_group.png" id="227" name="Picture"/>
                    <pic:cNvPicPr>
                      <a:picLocks noChangeArrowheads="1" noChangeAspect="1"/>
                    </pic:cNvPicPr>
                  </pic:nvPicPr>
                  <pic:blipFill>
                    <a:blip r:embed="rId225"/>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8"/>
    <w:bookmarkStart w:id="232" w:name="depth-attenuation-of-dhw"/>
    <w:p>
      <w:pPr>
        <w:pStyle w:val="Heading3"/>
      </w:pPr>
      <w:r>
        <w:t xml:space="preserve">7.5.4 Depth attenuation of DHW</w:t>
      </w:r>
    </w:p>
    <w:p>
      <w:pPr>
        <w:pStyle w:val="FirstParagraph"/>
      </w:pPr>
      <w:r>
        <w:t xml:space="preserve">The calibrated</w:t>
      </w:r>
      <w:r>
        <w:t xml:space="preserve"> </w:t>
      </w:r>
      <m:oMath>
        <m:sSup>
          <m:e>
            <m:r>
              <m:t>η</m:t>
            </m:r>
          </m:e>
          <m:sup>
            <m:r>
              <m:rPr>
                <m:nor/>
                <m:sty m:val="b"/>
              </m:rPr>
              <m:t>base</m:t>
            </m:r>
          </m:sup>
        </m:sSup>
      </m:oMath>
      <w:r>
        <w:t xml:space="preserve"> </w:t>
      </w:r>
      <w:r>
        <w:t xml:space="preserve">and</w:t>
      </w:r>
      <w:r>
        <w:t xml:space="preserve"> </w:t>
      </w:r>
      <m:oMath>
        <m:sSup>
          <m:e>
            <m:r>
              <m:t>η</m:t>
            </m:r>
          </m:e>
          <m:sup>
            <m:r>
              <m:rPr>
                <m:nor/>
                <m:sty m:val="b"/>
              </m:rPr>
              <m:t>mix</m:t>
            </m:r>
          </m:sup>
        </m:sSup>
      </m:oMath>
      <w:r>
        <w:t xml:space="preserve"> </w:t>
      </w:r>
      <w:r>
        <w:t xml:space="preserve">values determine how the effective DHW at depth (Eq.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textbf{base}} and \eta^{\textbf{mix}} values. The dotted line shows the 1:1 reference (no attenuation, i.e. surface conditions)." title="" id="230" name="Picture"/>
            <a:graphic>
              <a:graphicData uri="http://schemas.openxmlformats.org/drawingml/2006/picture">
                <pic:pic>
                  <pic:nvPicPr>
                    <pic:cNvPr descr="../figures/S03_effective_dhw_depth_attenuation.png" id="231" name="Picture"/>
                    <pic:cNvPicPr>
                      <a:picLocks noChangeArrowheads="1" noChangeAspect="1"/>
                    </pic:cNvPicPr>
                  </pic:nvPicPr>
                  <pic:blipFill>
                    <a:blip r:embed="rId229"/>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rPr>
                <m:nor/>
                <m:sty m:val="b"/>
              </m:rPr>
              <m:t>base</m:t>
            </m:r>
          </m:sup>
        </m:sSup>
      </m:oMath>
      <w:r>
        <w:rPr>
          <w:b/>
          <w:bCs/>
        </w:rPr>
        <w:t xml:space="preserve"> </w:t>
      </w:r>
      <w:r>
        <w:rPr>
          <w:b/>
          <w:bCs/>
        </w:rPr>
        <w:t xml:space="preserve">and</w:t>
      </w:r>
      <w:r>
        <w:rPr>
          <w:b/>
          <w:bCs/>
        </w:rPr>
        <w:t xml:space="preserve"> </w:t>
      </w:r>
      <m:oMath>
        <m:sSup>
          <m:e>
            <m:r>
              <m:t>η</m:t>
            </m:r>
          </m:e>
          <m:sup>
            <m:r>
              <m:rPr>
                <m:nor/>
                <m:sty m:val="b"/>
              </m:rPr>
              <m:t>mix</m:t>
            </m:r>
          </m:sup>
        </m:sSup>
      </m:oMath>
      <w:r>
        <w:rPr>
          <w:b/>
          <w:bCs/>
        </w:rPr>
        <w:t xml:space="preserve"> </w:t>
      </w:r>
      <w:r>
        <w:rPr>
          <w:b/>
          <w:bCs/>
        </w:rPr>
        <w:t xml:space="preserve">values.</w:t>
      </w:r>
      <w:r>
        <w:t xml:space="preserve"> </w:t>
      </w:r>
      <w:r>
        <w:t xml:space="preserve">The dotted line shows the 1:1 reference (no attenuation, i.e. surface conditions).</w:t>
      </w:r>
    </w:p>
    <w:bookmarkEnd w:id="232"/>
    <w:bookmarkEnd w:id="233"/>
    <w:bookmarkStart w:id="237"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5" name="Picture"/>
            <a:graphic>
              <a:graphicData uri="http://schemas.openxmlformats.org/drawingml/2006/picture">
                <pic:pic>
                  <pic:nvPicPr>
                    <pic:cNvPr descr="media/image9.png" id="236" name="Picture"/>
                    <pic:cNvPicPr>
                      <a:picLocks noChangeArrowheads="1" noChangeAspect="1"/>
                    </pic:cNvPicPr>
                  </pic:nvPicPr>
                  <pic:blipFill>
                    <a:blip r:embed="rId234"/>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7"/>
    <w:bookmarkStart w:id="250" w:name="per-reef-performance-metrics"/>
    <w:p>
      <w:pPr>
        <w:pStyle w:val="Heading2"/>
      </w:pPr>
      <w:r>
        <w:t xml:space="preserve">7.7 Per-reef performance metrics</w:t>
      </w:r>
    </w:p>
    <w:p>
      <w:pPr>
        <w:pStyle w:val="FirstParagraph"/>
      </w:pPr>
      <w:r>
        <w:t xml:space="preserve">Figures S5-S8 show the full per-reef distributions underlying the aggregate values reported in Table S1: bootstrapped ΔRMSE and SRCC, each with its own 95% confidence interval, for every calibration and test reef, sorted by value. Values and confidence intervals for reefs with 5 or more observed years were computed using a block bootstrap, and for reefs with 4 observed years using an iid bootstrap. We also show the aggregate bootstrapped median with its own 95% confidence interval.</w:t>
      </w:r>
    </w:p>
    <w:p>
      <w:pPr>
        <w:pStyle w:val="CaptionedFigure"/>
      </w:pPr>
      <w:r>
        <w:drawing>
          <wp:inline>
            <wp:extent cx="5731510" cy="4298632"/>
            <wp:effectExtent b="0" l="0" r="0" t="0"/>
            <wp:docPr descr="Figure S5. Bootstrapped ΔRMSE (benchmark − model RMSE) for each calibration reef." title="" id="239" name="Picture"/>
            <a:graphic>
              <a:graphicData uri="http://schemas.openxmlformats.org/drawingml/2006/picture">
                <pic:pic>
                  <pic:nvPicPr>
                    <pic:cNvPr descr="../figures/S05_rmse_diff_calibration.png" id="240" name="Picture"/>
                    <pic:cNvPicPr>
                      <a:picLocks noChangeArrowheads="1" noChangeAspect="1"/>
                    </pic:cNvPicPr>
                  </pic:nvPicPr>
                  <pic:blipFill>
                    <a:blip r:embed="rId23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S5. Bootstrapped ΔRMSE (benchmark − model RMSE) for each calibration reef.</w:t>
      </w:r>
    </w:p>
    <w:p>
      <w:pPr>
        <w:pStyle w:val="CaptionedFigure"/>
      </w:pPr>
      <w:r>
        <w:drawing>
          <wp:inline>
            <wp:extent cx="5731510" cy="4298632"/>
            <wp:effectExtent b="0" l="0" r="0" t="0"/>
            <wp:docPr descr="Figure S6. Bootstrapped ΔRMSE (benchmark − model RMSE) for each test reef." title="" id="242" name="Picture"/>
            <a:graphic>
              <a:graphicData uri="http://schemas.openxmlformats.org/drawingml/2006/picture">
                <pic:pic>
                  <pic:nvPicPr>
                    <pic:cNvPr descr="../figures/S06_rmse_diff_test.png" id="243" name="Picture"/>
                    <pic:cNvPicPr>
                      <a:picLocks noChangeArrowheads="1" noChangeAspect="1"/>
                    </pic:cNvPicPr>
                  </pic:nvPicPr>
                  <pic:blipFill>
                    <a:blip r:embed="rId241"/>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S6. Bootstrapped ΔRMSE (benchmark − model RMSE) for each test reef.</w:t>
      </w:r>
    </w:p>
    <w:p>
      <w:pPr>
        <w:pStyle w:val="CaptionedFigure"/>
      </w:pPr>
      <w:r>
        <w:drawing>
          <wp:inline>
            <wp:extent cx="5731510" cy="4298632"/>
            <wp:effectExtent b="0" l="0" r="0" t="0"/>
            <wp:docPr descr="Figure S7. Bootstrapped SRCC for each calibration reef." title="" id="245" name="Picture"/>
            <a:graphic>
              <a:graphicData uri="http://schemas.openxmlformats.org/drawingml/2006/picture">
                <pic:pic>
                  <pic:nvPicPr>
                    <pic:cNvPr descr="../figures/S07_srcc_calibration.png" id="246" name="Picture"/>
                    <pic:cNvPicPr>
                      <a:picLocks noChangeArrowheads="1" noChangeAspect="1"/>
                    </pic:cNvPicPr>
                  </pic:nvPicPr>
                  <pic:blipFill>
                    <a:blip r:embed="rId24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S7. Bootstrapped SRCC for each calibration reef.</w:t>
      </w:r>
    </w:p>
    <w:p>
      <w:pPr>
        <w:pStyle w:val="CaptionedFigure"/>
      </w:pPr>
      <w:r>
        <w:drawing>
          <wp:inline>
            <wp:extent cx="5731510" cy="4298632"/>
            <wp:effectExtent b="0" l="0" r="0" t="0"/>
            <wp:docPr descr="Figure S8. Bootstrapped SRCC for each test reef." title="" id="248" name="Picture"/>
            <a:graphic>
              <a:graphicData uri="http://schemas.openxmlformats.org/drawingml/2006/picture">
                <pic:pic>
                  <pic:nvPicPr>
                    <pic:cNvPr descr="../figures/S08_srcc_test.png" id="249" name="Picture"/>
                    <pic:cNvPicPr>
                      <a:picLocks noChangeArrowheads="1" noChangeAspect="1"/>
                    </pic:cNvPicPr>
                  </pic:nvPicPr>
                  <pic:blipFill>
                    <a:blip r:embed="rId247"/>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S8. Bootstrapped SRCC for each test reef.</w:t>
      </w:r>
    </w:p>
    <w:bookmarkEnd w:id="250"/>
    <w:bookmarkEnd w:id="251"/>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20" Target="media/rId220.png" /><Relationship Type="http://schemas.openxmlformats.org/officeDocument/2006/relationships/image" Id="rId234" Target="media/rId234.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2026-08-24T04:34:40Z</dcterms:created>
  <dcterms:modified xsi:type="dcterms:W3CDTF">2026-08-24T04:34:40Z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