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5.png" ContentType="image/png"/>
  <Override PartName="/word/media/rId229.png" ContentType="image/png"/>
  <Override PartName="/word/media/rId238.png" ContentType="image/png"/>
  <Override PartName="/word/media/rId241.png" ContentType="image/png"/>
  <Override PartName="/word/media/rId244.png" ContentType="image/png"/>
  <Override PartName="/word/media/rId247.png" ContentType="image/png"/>
  <Override PartName="/word/media/rId11.png" ContentType="image/png"/>
  <Override PartName="/word/media/rId28.png" ContentType="image/png"/>
  <Override PartName="/word/media/rId220.png" ContentType="image/png"/>
  <Override PartName="/word/media/rId2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 Table S1 presents the bootstrapped median RMSE, ΔRMSE, SRCC, median bias and median absolute bias for calibration and test reefs, with 95% confidence intervals. The full distribution of scores underpinning Figure 2 and Table S1 is presented in Figures S5-S8.</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 Unlike the other performance metrics reported in this study, these reef-group-level trends are not assessed via bootstrap resampling since most reef groups have too few reefs for meaningful resampling (as few as two reefs in some test reef groups). The shaded intervals in these figures show the 2.5th-97.5th percentile range of cover across the reefs within each group.</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the 2.5th-97.5th percentile range of cover across reefs within each group."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the 2.5th-97.5th percentile range of cover across reefs within each group.</w:t>
      </w:r>
    </w:p>
    <w:p>
      <w:pPr>
        <w:pStyle w:val="CaptionedFigure"/>
      </w:pPr>
      <w:r>
        <w:drawing>
          <wp:inline>
            <wp:extent cx="5394960" cy="4980576"/>
            <wp:effectExtent b="0" l="0" r="0" t="0"/>
            <wp:docPr descr="Figure 4. Observed versus modelled relative coral cover for test reefs aggregated by reef group. Shaded intervals show the 2.5th-97.5th percentile range of cover across reefs within each group."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the 2.5th-97.5th percentile range of cover across reefs within each group.</w:t>
      </w:r>
    </w:p>
    <w:p>
      <w:pPr>
        <w:pStyle w:val="BodyText"/>
      </w:pPr>
      <w:r>
        <w:t xml:space="preserve">A comparison between modeled and observed relative coral cover for four selected test reefs is presented in Figure 5. The selected reefs (the two with the lowest and two with the highest ΔRMSE)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McCulloch Reef (No 1) (17-016a): Model RMSE = 0.08, Benchmark RMSE = 0.03, ΔRMSE = -0.06, SRCC = -0.2, Bias = 0.07; (B) Low Islands Reef (16-028): Model RMSE = 0.15, Benchmark RMSE = 0.1, ΔRMSE = -0.05, SRCC = 0.0, Bias = -0.08; (C) Rebe Reef (19-209): Model RMSE = 0.11, Benchmark RMSE = 0.23, ΔRMSE = 0.12, SRCC = 1.0, Bias = -0.05; (D) Ben Reef (20-113): 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McCulloch Reef (No 1) (17-016a):</w:t>
      </w:r>
      <w:r>
        <w:t xml:space="preserve"> </w:t>
      </w:r>
      <w:r>
        <w:t xml:space="preserve">Model RMSE = 0.08, Benchmark RMSE = 0.03, ΔRMSE = -0.06, SRCC = -0.2, Bias = 0.07; (</w:t>
      </w:r>
      <w:r>
        <w:rPr>
          <w:b/>
          <w:bCs/>
        </w:rPr>
        <w:t xml:space="preserve">B</w:t>
      </w:r>
      <w:r>
        <w:t xml:space="preserve">)</w:t>
      </w:r>
      <w:r>
        <w:t xml:space="preserve"> </w:t>
      </w:r>
      <w:r>
        <w:rPr>
          <w:b/>
          <w:bCs/>
        </w:rPr>
        <w:t xml:space="preserve">Low Islands Reef (16-028):</w:t>
      </w:r>
      <w:r>
        <w:t xml:space="preserve"> </w:t>
      </w:r>
      <w:r>
        <w:t xml:space="preserve">Model RMSE = 0.15, Benchmark RMSE = 0.1, ΔRMSE = -0.05, SRCC = 0.0, Bias = -0.08; (</w:t>
      </w:r>
      <w:r>
        <w:rPr>
          <w:b/>
          <w:bCs/>
        </w:rPr>
        <w:t xml:space="preserve">C</w:t>
      </w:r>
      <w:r>
        <w:t xml:space="preserve">)</w:t>
      </w:r>
      <w:r>
        <w:t xml:space="preserve"> </w:t>
      </w:r>
      <w:r>
        <w:rPr>
          <w:b/>
          <w:bCs/>
        </w:rPr>
        <w:t xml:space="preserve">Rebe Reef (19-209):</w:t>
      </w:r>
      <w:r>
        <w:t xml:space="preserve"> </w:t>
      </w:r>
      <w:r>
        <w:t xml:space="preserve">Model RMSE = 0.11, Benchmark RMSE = 0.23, ΔRMSE = 0.12, SRCC = 1.0, Bias = -0.05; (</w:t>
      </w:r>
      <w:r>
        <w:rPr>
          <w:b/>
          <w:bCs/>
        </w:rPr>
        <w:t xml:space="preserve">D</w:t>
      </w:r>
      <w:r>
        <w:t xml:space="preserve">)</w:t>
      </w:r>
      <w:r>
        <w:t xml:space="preserve"> </w:t>
      </w:r>
      <w:r>
        <w:rPr>
          <w:b/>
          <w:bCs/>
        </w:rPr>
        <w:t xml:space="preserve">Ben Reef (20-113):</w:t>
      </w:r>
      <w:r>
        <w:t xml:space="preserve"> </w:t>
      </w:r>
      <w:r>
        <w:t xml:space="preserve">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median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p</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p</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p>
      <w:pPr>
        <w:pStyle w:val="BodyText"/>
      </w:pPr>
      <w:r>
        <w:t xml:space="preserve">AI-assisted tools (Claude Sonnet 5 and Claude Opus 5, Anthropic) were used during the development of this study to write and refine code for the CoralBlox and ADRIA model implementations, the calibration pipeline, and the analysis scripts used to compute the performance metrics reported here (ΔRMSE, SRCC, bias, and their bootstrapped confidence intervals). All AI-assisted code was reviewed, tested, and validated by the authors against the model formulation described above prior to use.</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10"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Start w:id="209" w:name="ai-usage"/>
    <w:p>
      <w:pPr>
        <w:pStyle w:val="Heading2"/>
      </w:pPr>
      <w:r>
        <w:t xml:space="preserve">6.5 AI Usage</w:t>
      </w:r>
    </w:p>
    <w:p>
      <w:pPr>
        <w:pStyle w:val="FirstParagraph"/>
      </w:pPr>
      <w:r>
        <w:t xml:space="preserve">We acknowledge the use of AI-assisted tools (Claude Sonnet 5 and Claude Opus 5, Anthropic) in preparing this manuscript: drafting and revising portions of the text, generating the Quarto code used to render the manuscript and its figures, and producing the plots and performance metrics presented in the Results and Supplementary Materials. All AI-assisted content was reviewed and verified by the authors.</w:t>
      </w:r>
    </w:p>
    <w:bookmarkEnd w:id="209"/>
    <w:bookmarkEnd w:id="210"/>
    <w:bookmarkStart w:id="251" w:name="supplementary-materials"/>
    <w:p>
      <w:pPr>
        <w:pStyle w:val="Heading1"/>
      </w:pPr>
      <w:r>
        <w:t xml:space="preserve">7. Supplementary Materials</w:t>
      </w:r>
    </w:p>
    <w:bookmarkStart w:id="211" w:name="parameter-values"/>
    <w:p>
      <w:pPr>
        <w:pStyle w:val="Heading2"/>
      </w:pPr>
      <w:r>
        <w:t xml:space="preserve">7.1 Parameter values</w:t>
      </w:r>
    </w:p>
    <w:p>
      <w:pPr>
        <w:pStyle w:val="FirstParagraph"/>
      </w:pPr>
      <w:r>
        <w:rPr>
          <w:b/>
          <w:bCs/>
        </w:rPr>
        <w:t xml:space="preserve">Heritability = 0.3</w:t>
      </w:r>
    </w:p>
    <w:bookmarkEnd w:id="211"/>
    <w:bookmarkStart w:id="212"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|Bias|</w:t>
            </w:r>
          </w:p>
        </w:tc>
        <w:tc>
          <w:tcPr/>
          <w:p>
            <w:pPr>
              <w:pStyle w:val="Compact"/>
              <w:jc w:val="left"/>
            </w:pPr>
            <w:r>
              <w:t xml:space="preserve">0.03 [0.02, 0.04]</w:t>
            </w:r>
          </w:p>
        </w:tc>
        <w:tc>
          <w:tcPr/>
          <w:p>
            <w:pPr>
              <w:pStyle w:val="Compact"/>
              <w:jc w:val="left"/>
            </w:pPr>
            <w:r>
              <w:t xml:space="preserve">0.03 [0.02, 0.06]</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2"/>
    <w:bookmarkStart w:id="213"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3"/>
    <w:bookmarkStart w:id="219"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4"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4"/>
    <w:bookmarkStart w:id="215"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5"/>
    <w:bookmarkStart w:id="216"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6"/>
    <w:bookmarkStart w:id="217"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7"/>
    <w:bookmarkStart w:id="218"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8"/>
    <w:bookmarkEnd w:id="219"/>
    <w:bookmarkStart w:id="233"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3"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1" name="Picture"/>
            <a:graphic>
              <a:graphicData uri="http://schemas.openxmlformats.org/drawingml/2006/picture">
                <pic:pic>
                  <pic:nvPicPr>
                    <pic:cNvPr descr="media/image7.png" id="222" name="Picture"/>
                    <pic:cNvPicPr>
                      <a:picLocks noChangeArrowheads="1" noChangeAspect="1"/>
                    </pic:cNvPicPr>
                  </pic:nvPicPr>
                  <pic:blipFill>
                    <a:blip r:embed="rId220"/>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3"/>
    <w:bookmarkStart w:id="224"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4"/>
    <w:bookmarkStart w:id="228"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6" name="Picture"/>
            <a:graphic>
              <a:graphicData uri="http://schemas.openxmlformats.org/drawingml/2006/picture">
                <pic:pic>
                  <pic:nvPicPr>
                    <pic:cNvPr descr="../figures/S02_dhw_per_reef_group.png" id="227" name="Picture"/>
                    <pic:cNvPicPr>
                      <a:picLocks noChangeArrowheads="1" noChangeAspect="1"/>
                    </pic:cNvPicPr>
                  </pic:nvPicPr>
                  <pic:blipFill>
                    <a:blip r:embed="rId225"/>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8"/>
    <w:bookmarkStart w:id="232"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30" name="Picture"/>
            <a:graphic>
              <a:graphicData uri="http://schemas.openxmlformats.org/drawingml/2006/picture">
                <pic:pic>
                  <pic:nvPicPr>
                    <pic:cNvPr descr="../figures/S03_effective_dhw_depth_attenuation.png" id="231" name="Picture"/>
                    <pic:cNvPicPr>
                      <a:picLocks noChangeArrowheads="1" noChangeAspect="1"/>
                    </pic:cNvPicPr>
                  </pic:nvPicPr>
                  <pic:blipFill>
                    <a:blip r:embed="rId229"/>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2"/>
    <w:bookmarkEnd w:id="233"/>
    <w:bookmarkStart w:id="237"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5" name="Picture"/>
            <a:graphic>
              <a:graphicData uri="http://schemas.openxmlformats.org/drawingml/2006/picture">
                <pic:pic>
                  <pic:nvPicPr>
                    <pic:cNvPr descr="media/image9.png" id="236" name="Picture"/>
                    <pic:cNvPicPr>
                      <a:picLocks noChangeArrowheads="1" noChangeAspect="1"/>
                    </pic:cNvPicPr>
                  </pic:nvPicPr>
                  <pic:blipFill>
                    <a:blip r:embed="rId234"/>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7"/>
    <w:bookmarkStart w:id="250" w:name="per-reef-performance-metrics"/>
    <w:p>
      <w:pPr>
        <w:pStyle w:val="Heading2"/>
      </w:pPr>
      <w:r>
        <w:t xml:space="preserve">7.7 Per-reef performance metrics</w:t>
      </w:r>
    </w:p>
    <w:p>
      <w:pPr>
        <w:pStyle w:val="FirstParagraph"/>
      </w:pPr>
      <w:r>
        <w:t xml:space="preserve">Figures S5-S8 show the full per-reef distributions underlying the aggregate values reported in Table S1: bootstrapped ΔRMSE and SRCC, each with its own 95% confidence interval, for every calibration and test reef, sorted by value. Values and confidence intervals for reefs with 5 or more observed years were computed using a block bootstrap, and for reefs with 4 observed years using an iid bootstrap. We also show the aggregate bootstrapped median with its own 95% confidence interval.</w:t>
      </w:r>
    </w:p>
    <w:p>
      <w:pPr>
        <w:pStyle w:val="CaptionedFigure"/>
      </w:pPr>
      <w:r>
        <w:drawing>
          <wp:inline>
            <wp:extent cx="5731510" cy="4298632"/>
            <wp:effectExtent b="0" l="0" r="0" t="0"/>
            <wp:docPr descr="Figure S5. Bootstrapped ΔRMSE (benchmark − model RMSE) for each calibration reef." title="" id="239" name="Picture"/>
            <a:graphic>
              <a:graphicData uri="http://schemas.openxmlformats.org/drawingml/2006/picture">
                <pic:pic>
                  <pic:nvPicPr>
                    <pic:cNvPr descr="../figures/S05_rmse_diff_calibration.png" id="240" name="Picture"/>
                    <pic:cNvPicPr>
                      <a:picLocks noChangeArrowheads="1" noChangeAspect="1"/>
                    </pic:cNvPicPr>
                  </pic:nvPicPr>
                  <pic:blipFill>
                    <a:blip r:embed="rId23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S5. Bootstrapped ΔRMSE (benchmark − model RMSE) for each calibration reef.</w:t>
      </w:r>
    </w:p>
    <w:p>
      <w:pPr>
        <w:pStyle w:val="CaptionedFigure"/>
      </w:pPr>
      <w:r>
        <w:drawing>
          <wp:inline>
            <wp:extent cx="5731510" cy="4298632"/>
            <wp:effectExtent b="0" l="0" r="0" t="0"/>
            <wp:docPr descr="Figure S6. Bootstrapped ΔRMSE (benchmark − model RMSE) for each test reef." title="" id="242" name="Picture"/>
            <a:graphic>
              <a:graphicData uri="http://schemas.openxmlformats.org/drawingml/2006/picture">
                <pic:pic>
                  <pic:nvPicPr>
                    <pic:cNvPr descr="../figures/S06_rmse_diff_test.png" id="243" name="Picture"/>
                    <pic:cNvPicPr>
                      <a:picLocks noChangeArrowheads="1" noChangeAspect="1"/>
                    </pic:cNvPicPr>
                  </pic:nvPicPr>
                  <pic:blipFill>
                    <a:blip r:embed="rId241"/>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S6. Bootstrapped ΔRMSE (benchmark − model RMSE) for each test reef.</w:t>
      </w:r>
    </w:p>
    <w:p>
      <w:pPr>
        <w:pStyle w:val="CaptionedFigure"/>
      </w:pPr>
      <w:r>
        <w:drawing>
          <wp:inline>
            <wp:extent cx="5731510" cy="4298632"/>
            <wp:effectExtent b="0" l="0" r="0" t="0"/>
            <wp:docPr descr="Figure S7. Bootstrapped SRCC for each calibration reef." title="" id="245" name="Picture"/>
            <a:graphic>
              <a:graphicData uri="http://schemas.openxmlformats.org/drawingml/2006/picture">
                <pic:pic>
                  <pic:nvPicPr>
                    <pic:cNvPr descr="../figures/S07_srcc_calibration.png" id="246" name="Picture"/>
                    <pic:cNvPicPr>
                      <a:picLocks noChangeArrowheads="1" noChangeAspect="1"/>
                    </pic:cNvPicPr>
                  </pic:nvPicPr>
                  <pic:blipFill>
                    <a:blip r:embed="rId24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S7. Bootstrapped SRCC for each calibration reef.</w:t>
      </w:r>
    </w:p>
    <w:p>
      <w:pPr>
        <w:pStyle w:val="CaptionedFigure"/>
      </w:pPr>
      <w:r>
        <w:drawing>
          <wp:inline>
            <wp:extent cx="5731510" cy="4298632"/>
            <wp:effectExtent b="0" l="0" r="0" t="0"/>
            <wp:docPr descr="Figure S8. Bootstrapped SRCC for each test reef." title="" id="248" name="Picture"/>
            <a:graphic>
              <a:graphicData uri="http://schemas.openxmlformats.org/drawingml/2006/picture">
                <pic:pic>
                  <pic:nvPicPr>
                    <pic:cNvPr descr="../figures/S08_srcc_test.png" id="249" name="Picture"/>
                    <pic:cNvPicPr>
                      <a:picLocks noChangeArrowheads="1" noChangeAspect="1"/>
                    </pic:cNvPicPr>
                  </pic:nvPicPr>
                  <pic:blipFill>
                    <a:blip r:embed="rId247"/>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S8. Bootstrapped SRCC for each test reef.</w:t>
      </w:r>
    </w:p>
    <w:bookmarkEnd w:id="250"/>
    <w:bookmarkEnd w:id="251"/>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20" Target="media/rId220.png" /><Relationship Type="http://schemas.openxmlformats.org/officeDocument/2006/relationships/image" Id="rId234" Target="media/rId234.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2026-08-24T05:31:35Z</dcterms:created>
  <dcterms:modified xsi:type="dcterms:W3CDTF">2026-08-24T05:31:35Z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