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CoralBlox Variables/Parameters/Indexes List</w:t>
      </w:r>
    </w:p>
    <w:bookmarkStart w:id="9" w:name="variablesparametersindexes-list"/>
    <w:p>
      <w:pPr>
        <w:pStyle w:val="Heading1"/>
      </w:pPr>
      <w:r>
        <w:t xml:space="preserve">Variables/Parameters/Indexes List</w:t>
      </w:r>
    </w:p>
    <w:p>
      <w:pPr>
        <w:pStyle w:val="Compact"/>
        <w:numPr>
          <w:ilvl w:val="0"/>
          <w:numId w:val="1001"/>
        </w:numPr>
      </w:pPr>
      <m:oMath>
        <m:r>
          <m:t>C</m:t>
        </m:r>
      </m:oMath>
      <w:r>
        <w:t xml:space="preserve"> </w:t>
      </w:r>
      <w:r>
        <w:t xml:space="preserve">– Coral cover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– Coral cover at time t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t xml:space="preserve"> </w:t>
      </w:r>
      <w:r>
        <w:t xml:space="preserve">– Time</w:t>
      </w:r>
    </w:p>
    <w:p>
      <w:pPr>
        <w:pStyle w:val="Compact"/>
        <w:numPr>
          <w:ilvl w:val="0"/>
          <w:numId w:val="1001"/>
        </w:numPr>
      </w:pPr>
      <m:oMath>
        <m:r>
          <m:t>g</m:t>
        </m:r>
      </m:oMath>
      <w:r>
        <w:t xml:space="preserve"> </w:t>
      </w:r>
      <w:r>
        <w:t xml:space="preserve">– Functional Groups</w:t>
      </w:r>
    </w:p>
    <w:p>
      <w:pPr>
        <w:pStyle w:val="Compact"/>
        <w:numPr>
          <w:ilvl w:val="0"/>
          <w:numId w:val="1001"/>
        </w:numPr>
      </w:pPr>
      <m:oMath>
        <m:r>
          <m:t>G</m:t>
        </m:r>
      </m:oMath>
      <w:r>
        <w:t xml:space="preserve"> </w:t>
      </w:r>
      <w:r>
        <w:t xml:space="preserve">– Number of functional groups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 </w:t>
      </w:r>
      <w:r>
        <w:t xml:space="preserve">– Size Classes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 </w:t>
      </w:r>
      <w:r>
        <w:t xml:space="preserve">– Number of Size classes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– Coral Block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– Number of Coral Blocks</w:t>
      </w:r>
    </w:p>
    <w:p>
      <w:pPr>
        <w:pStyle w:val="Compact"/>
        <w:numPr>
          <w:ilvl w:val="0"/>
          <w:numId w:val="1001"/>
        </w:numPr>
      </w:pPr>
      <m:oMath>
        <m:r>
          <m:t>γ</m:t>
        </m:r>
      </m:oMath>
      <w:r>
        <w:t xml:space="preserve"> </w:t>
      </w:r>
      <w:r>
        <w:t xml:space="preserve">– Linear Extension</w:t>
      </w:r>
    </w:p>
    <w:p>
      <w:pPr>
        <w:pStyle w:val="Compact"/>
        <w:numPr>
          <w:ilvl w:val="0"/>
          <w:numId w:val="1001"/>
        </w:numPr>
      </w:pPr>
      <m:oMath>
        <m:r>
          <m:t>ω</m:t>
        </m:r>
      </m:oMath>
      <w:r>
        <w:t xml:space="preserve"> </w:t>
      </w:r>
      <w:r>
        <w:t xml:space="preserve">– Growth rate</w:t>
      </w:r>
    </w:p>
    <w:p>
      <w:pPr>
        <w:pStyle w:val="Compact"/>
        <w:numPr>
          <w:ilvl w:val="0"/>
          <w:numId w:val="1001"/>
        </w:numPr>
      </w:pPr>
      <m:oMath>
        <m:r>
          <m:t>λ</m:t>
        </m:r>
      </m:oMath>
      <w:r>
        <w:t xml:space="preserve"> </w:t>
      </w:r>
      <w:r>
        <w:t xml:space="preserve">– Coral diameter density</w:t>
      </w:r>
    </w:p>
    <w:p>
      <w:pPr>
        <w:pStyle w:val="Compact"/>
        <w:numPr>
          <w:ilvl w:val="0"/>
          <w:numId w:val="1001"/>
        </w:numPr>
      </w:pPr>
      <m:oMath>
        <m:r>
          <m:t>κ</m:t>
        </m:r>
      </m:oMath>
      <w:r>
        <w:t xml:space="preserve"> </w:t>
      </w:r>
      <w:r>
        <w:t xml:space="preserve">– Spatial competition coefficient</w:t>
      </w:r>
    </w:p>
    <w:p>
      <w:pPr>
        <w:pStyle w:val="Compact"/>
        <w:numPr>
          <w:ilvl w:val="0"/>
          <w:numId w:val="1001"/>
        </w:numPr>
      </w:pPr>
      <m:oMath>
        <m:r>
          <m:t>ζ</m:t>
        </m:r>
      </m:oMath>
      <w:r>
        <w:t xml:space="preserve"> </w:t>
      </w:r>
      <w:r>
        <w:t xml:space="preserve">– growth acceleration coefficient</w:t>
      </w:r>
    </w:p>
    <w:p>
      <w:pPr>
        <w:pStyle w:val="Compact"/>
        <w:numPr>
          <w:ilvl w:val="0"/>
          <w:numId w:val="1001"/>
        </w:numPr>
      </w:pPr>
      <m:oMath>
        <m:r>
          <m:t>σ</m:t>
        </m:r>
      </m:oMath>
      <w:r>
        <w:t xml:space="preserve"> </w:t>
      </w:r>
      <w:r>
        <w:t xml:space="preserve">– standard deviation</w:t>
      </w:r>
    </w:p>
    <w:p>
      <w:pPr>
        <w:pStyle w:val="Compact"/>
        <w:numPr>
          <w:ilvl w:val="0"/>
          <w:numId w:val="1001"/>
        </w:numPr>
      </w:pPr>
      <m:oMath>
        <m:r>
          <m:t>μ</m:t>
        </m:r>
      </m:oMath>
      <w:r>
        <w:t xml:space="preserve"> </w:t>
      </w:r>
      <w:r>
        <w:t xml:space="preserve">– mean of heat tolerance distribution</w:t>
      </w:r>
    </w:p>
    <w:p>
      <w:pPr>
        <w:pStyle w:val="Compact"/>
        <w:numPr>
          <w:ilvl w:val="0"/>
          <w:numId w:val="1001"/>
        </w:numPr>
      </w:pPr>
      <m:oMath>
        <m:r>
          <m:t>β</m:t>
        </m:r>
      </m:oMath>
      <w:r>
        <w:t xml:space="preserve"> </w:t>
      </w:r>
      <w:r>
        <w:t xml:space="preserve">– Proportion of each functional group and size class population affected by bleaching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m</m:t>
            </m:r>
          </m:e>
          <m:sup>
            <m:r>
              <m:t>b</m:t>
            </m:r>
            <m:r>
              <m:t>a</m:t>
            </m:r>
            <m:r>
              <m:t>c</m:t>
            </m:r>
            <m:r>
              <m:t>k</m:t>
            </m:r>
            <m:r>
              <m:t>g</m:t>
            </m:r>
            <m:r>
              <m:t>r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p>
        </m:sSup>
      </m:oMath>
      <w:r>
        <w:t xml:space="preserve">/</w:t>
      </w:r>
      <m:oMath>
        <m:sSup>
          <m:e>
            <m:r>
              <m:t>m</m:t>
            </m:r>
          </m:e>
          <m:sup>
            <m:r>
              <m:t>b</m:t>
            </m:r>
            <m:r>
              <m:t>l</m:t>
            </m:r>
            <m:r>
              <m:t>e</m:t>
            </m:r>
            <m:r>
              <m:t>a</m:t>
            </m:r>
            <m:r>
              <m:t>c</m:t>
            </m:r>
            <m:r>
              <m:t>h</m:t>
            </m:r>
            <m:r>
              <m:t>i</m:t>
            </m:r>
            <m:r>
              <m:t>n</m:t>
            </m:r>
            <m:r>
              <m:t>g</m:t>
            </m:r>
          </m:sup>
        </m:sSup>
      </m:oMath>
      <w:r>
        <w:t xml:space="preserve">/etc – mortality rates</w:t>
      </w:r>
    </w:p>
    <w:p>
      <w:pPr>
        <w:pStyle w:val="Compact"/>
        <w:numPr>
          <w:ilvl w:val="0"/>
          <w:numId w:val="1001"/>
        </w:numPr>
      </w:pPr>
      <m:oMath>
        <m:r>
          <m:t>H</m:t>
        </m:r>
      </m:oMath>
      <w:r>
        <w:t xml:space="preserve"> </w:t>
      </w:r>
      <w:r>
        <w:t xml:space="preserve">– Habitable area / Carrying capacity</w:t>
      </w:r>
    </w:p>
    <w:p>
      <w:pPr>
        <w:pStyle w:val="Compact"/>
        <w:numPr>
          <w:ilvl w:val="0"/>
          <w:numId w:val="1001"/>
        </w:numPr>
      </w:pPr>
      <m:oMath>
        <m:r>
          <m:t>K</m:t>
        </m:r>
      </m:oMath>
      <w:r>
        <w:t xml:space="preserve"> </w:t>
      </w:r>
      <w:r>
        <w:t xml:space="preserve">– Available space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– Maximum projected cover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– location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– number of locations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– Reef group</w:t>
      </w:r>
    </w:p>
    <w:p>
      <w:pPr>
        <w:pStyle w:val="Compact"/>
        <w:numPr>
          <w:ilvl w:val="0"/>
          <w:numId w:val="1001"/>
        </w:numPr>
      </w:pPr>
      <m:oMath>
        <m:r>
          <m:t>h</m:t>
        </m:r>
      </m:oMath>
      <w:r>
        <w:t xml:space="preserve"> </w:t>
      </w:r>
      <w:r>
        <w:t xml:space="preserve">– depth</w:t>
      </w:r>
    </w:p>
    <w:p>
      <w:pPr>
        <w:pStyle w:val="Compact"/>
        <w:numPr>
          <w:ilvl w:val="0"/>
          <w:numId w:val="1001"/>
        </w:numPr>
      </w:pPr>
      <m:oMath>
        <m:r>
          <m:t>η</m:t>
        </m:r>
      </m:oMath>
      <w:r>
        <w:t xml:space="preserve"> </w:t>
      </w:r>
      <w:r>
        <w:t xml:space="preserve">– Depth coefficient</w:t>
      </w:r>
    </w:p>
    <w:p>
      <w:pPr>
        <w:pStyle w:val="Compact"/>
        <w:numPr>
          <w:ilvl w:val="0"/>
          <w:numId w:val="1001"/>
        </w:numPr>
      </w:pPr>
      <m:oMath>
        <m:r>
          <m:t>δ</m:t>
        </m:r>
      </m:oMath>
      <w:r>
        <w:t xml:space="preserve"> </w:t>
      </w:r>
      <w:r>
        <w:t xml:space="preserve">– Coral Block bounds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d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/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– Size Class bounds</w:t>
      </w:r>
    </w:p>
    <w:p>
      <w:pPr>
        <w:pStyle w:val="Compact"/>
        <w:numPr>
          <w:ilvl w:val="0"/>
          <w:numId w:val="1001"/>
        </w:numPr>
      </w:pPr>
      <m:oMath>
        <m:r>
          <m:t>α</m:t>
        </m:r>
      </m:oMath>
      <w:r>
        <w:t xml:space="preserve"> </w:t>
      </w:r>
      <w:r>
        <w:t xml:space="preserve">– Modelled colony area</w:t>
      </w:r>
    </w:p>
    <w:p>
      <w:pPr>
        <w:pStyle w:val="Compact"/>
        <w:numPr>
          <w:ilvl w:val="0"/>
          <w:numId w:val="1001"/>
        </w:numPr>
      </w:pPr>
      <m:oMath>
        <m:bar>
          <m:barPr>
            <m:pos m:val="top"/>
          </m:barPr>
          <m:e>
            <m:r>
              <m:t>α</m:t>
            </m:r>
          </m:e>
        </m:bar>
      </m:oMath>
      <w:r>
        <w:t xml:space="preserve"> </w:t>
      </w:r>
      <w:r>
        <w:t xml:space="preserve">– Mean colony area</w:t>
      </w:r>
    </w:p>
    <w:p>
      <w:pPr>
        <w:pStyle w:val="Compact"/>
        <w:numPr>
          <w:ilvl w:val="0"/>
          <w:numId w:val="1001"/>
        </w:numPr>
      </w:pPr>
      <m:oMath>
        <m:r>
          <m:t>ϕ</m:t>
        </m:r>
      </m:oMath>
      <w:r>
        <w:t xml:space="preserve"> </w:t>
      </w:r>
      <w:r>
        <w:t xml:space="preserve">– Fecundity</w:t>
      </w:r>
    </w:p>
    <w:p>
      <w:pPr>
        <w:pStyle w:val="Compact"/>
        <w:numPr>
          <w:ilvl w:val="0"/>
          <w:numId w:val="1001"/>
        </w:numPr>
      </w:pPr>
      <m:oMath>
        <m:r>
          <m:t>R</m:t>
        </m:r>
      </m:oMath>
      <w:r>
        <w:t xml:space="preserve"> </w:t>
      </w:r>
      <w:r>
        <w:t xml:space="preserve">– Larval pool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Λ</m:t>
        </m:r>
      </m:oMath>
      <w:r>
        <w:t xml:space="preserve"> </w:t>
      </w:r>
      <w:r>
        <w:t xml:space="preserve">– rate parameter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Λ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– Maximum achievable density and larval stock required to produce 50% of the max settlement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t xml:space="preserve">– Connectivity matrix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</m:oMath>
      <w:r>
        <w:t xml:space="preserve"> </w:t>
      </w:r>
      <w:r>
        <w:t xml:space="preserve">– Truncated distribution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f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– Lower and Upper truncation bounds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Fecundity parameters</w:t>
      </w:r>
    </w:p>
    <w:p>
      <w:pPr>
        <w:pStyle w:val="Compact"/>
        <w:numPr>
          <w:ilvl w:val="0"/>
          <w:numId w:val="1001"/>
        </w:numPr>
      </w:pPr>
      <m:oMath>
        <m:r>
          <m:t>w</m:t>
        </m:r>
      </m:oMath>
      <w:r>
        <w:t xml:space="preserve"> </w:t>
      </w:r>
      <w:r>
        <w:t xml:space="preserve">– Heat tolerance weights</w:t>
      </w:r>
    </w:p>
    <w:p>
      <w:pPr>
        <w:pStyle w:val="Compact"/>
        <w:numPr>
          <w:ilvl w:val="0"/>
          <w:numId w:val="1001"/>
        </w:numPr>
      </w:pPr>
      <m:oMath>
        <m:r>
          <m:t>S</m:t>
        </m:r>
      </m:oMath>
      <w:r>
        <w:t xml:space="preserve"> </w:t>
      </w:r>
      <w:r>
        <w:t xml:space="preserve">– Selection Differential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Ξ</m:t>
        </m:r>
      </m:oMath>
      <w:r>
        <w:t xml:space="preserve"> </w:t>
      </w:r>
      <w:r>
        <w:t xml:space="preserve">– Linear extension regional scale factor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Υ</m:t>
        </m:r>
      </m:oMath>
      <w:r>
        <w:t xml:space="preserve"> </w:t>
      </w:r>
      <w:r>
        <w:t xml:space="preserve">– Background mortality regional scale factor</w:t>
      </w:r>
    </w:p>
    <w:bookmarkEnd w:id="9"/>
    <w:sectPr>
      <w:footnotePr>
        <w:numRestart w:val="eachSect"/>
      </w:footnotePr>
      <w:pgSz w:h="15840" w:w="12240"/>
      <w:pgMar w:bottom="806" w:footer="259" w:gutter="0" w:header="432" w:left="806" w:right="1987" w:top="994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ind w:firstLine="720"/>
      <w:spacing w:after="180" w:before="180"/>
    </w:pPr>
    <w:rPr>
      <w:rFonts w:ascii="Times New Roman" w:cs="Times New Roman" w:hAnsi="Times New Roman"/>
      <w:sz w:val="24"/>
      <w:szCs w:val="24"/>
    </w:rPr>
  </w:style>
  <w:style w:customStyle="1" w:styleId="FirstParagraph" w:type="paragraph">
    <w:pPr>
      <w:ind w:firstLine="0"/>
    </w:pPr>
    <w:name w:val="First Paragraph"/>
    <w:basedOn w:val="BodyText"/>
    <w:next w:val="BodyText"/>
    <w:qFormat/>
    <w:rPr>
      <w:rFonts w:ascii="Times New Roman" w:cs="Times New Roman" w:hAnsi="Times New Roman"/>
      <w:sz w:val="24"/>
      <w:szCs w:val="24"/>
    </w:rPr>
  </w:style>
  <w:style w:customStyle="1" w:styleId="Compact" w:type="paragraph">
    <w:name w:val="Compact"/>
    <w:basedOn w:val="BodyText"/>
    <w:qFormat/>
    <w:pPr>
      <w:ind w:firstLine="0"/>
      <w:spacing w:after="36" w:before="36"/>
    </w:pPr>
    <w:rPr>
      <w:rFonts w:ascii="Times New Roman" w:cs="Times New Roman" w:hAnsi="Times New Roman"/>
      <w:sz w:val="24"/>
      <w:szCs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hAnsi="Times New Roman"/>
      <w:b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hAnsi="Times New Roman"/>
      <w:b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hAnsi="Times New Roman"/>
      <w:i/>
      <w:sz w:val="24"/>
      <w:szCs w:val="24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hAnsi="Times New Roman"/>
      <w:i/>
      <w:sz w:val="24"/>
      <w:szCs w:val="24"/>
      <w:color w:val="000000"/>
      <w:spacing w:val="15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hAnsi="Times New Roman"/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hAnsi="Times New Roman"/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  <w:rPr>
      <w:rFonts w:ascii="Times New Roman" w:cs="Times New Roman" w:hAnsi="Times New Roman"/>
      <w:sz w:val="24"/>
      <w:szCs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hAnsi="Times New Roman"/>
      <w:b/>
      <w:sz w:val="24"/>
      <w:szCs w:val="24"/>
      <w:color w:val="00000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hAnsi="Times New Roman"/>
      <w:b/>
      <w:i/>
      <w:sz w:val="24"/>
      <w:szCs w:val="24"/>
      <w:color w:val="00000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hAnsi="Times New Roman"/>
      <w:i/>
      <w:sz w:val="24"/>
      <w:szCs w:val="24"/>
      <w:color w:val="00000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hAnsi="Times New Roman"/>
      <w:i/>
      <w:sz w:val="24"/>
      <w:szCs w:val="24"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hAnsi="Times New Roman"/>
      <w:b/>
      <w:sz w:val="24"/>
      <w:szCs w:val="24"/>
      <w:color w:val="00000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hAnsi="Times New Roman"/>
      <w:b/>
      <w:i/>
      <w:sz w:val="24"/>
      <w:szCs w:val="24"/>
      <w:color w:val="000000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hAnsi="Times New Roman"/>
      <w:i/>
      <w:sz w:val="24"/>
      <w:szCs w:val="24"/>
      <w:color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hAnsi="Times New Roman"/>
      <w:i/>
      <w:sz w:val="24"/>
      <w:szCs w:val="24"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vAlign w:val="center"/>
    </w:tc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hAnsi="Times New Roman"/>
      <w:sz w:val="24"/>
      <w:szCs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hAnsi="Times New Roman"/>
      <w:sz w:val="24"/>
      <w:szCs w:val="24"/>
    </w:rPr>
  </w:style>
  <w:style w:customStyle="1" w:styleId="ImageCaption" w:type="paragraph">
    <w:name w:val="Image Caption"/>
    <w:basedOn w:val="Caption"/>
    <w:rPr>
      <w:rFonts w:ascii="Times New Roman" w:cs="Times New Roman" w:hAnsi="Times New Roman"/>
      <w:sz w:val="24"/>
      <w:szCs w:val="24"/>
    </w:rPr>
  </w:style>
  <w:style w:customStyle="1" w:styleId="Figure" w:type="paragraph">
    <w:pPr>
      <w:ind w:firstLine="0"/>
      <w:jc w:val="center"/>
    </w:pPr>
    <w:name w:val="Figure"/>
    <w:basedOn w:val="Normal"/>
  </w:style>
  <w:style w:customStyle="1" w:styleId="CaptionedFigure" w:type="paragraph">
    <w:name w:val="Captioned Figure"/>
    <w:basedOn w:val="Figure"/>
    <w:pPr>
      <w:ind w:firstLine="0"/>
      <w:jc w:val="center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styleId="LineNumber" w:type="character">
    <w:name w:val="line number"/>
    <w:basedOn w:val="DefaultParagraphFont"/>
    <w:rPr>
      <w:rFonts w:ascii="Times New Roman" w:cs="Times New Roman" w:hAnsi="Times New Roman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CoralBlox Variables/Parameters/Indexes List</dc:title>
  <dc:creator/>
  <cp:keywords/>
  <dcterms:created xsi:type="dcterms:W3CDTF">2026-08-24T05:31:01Z</dcterms:created>
  <dcterms:modified xsi:type="dcterms:W3CDTF">2026-08-24T05:31:01Z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