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8.png" ContentType="image/png"/>
  <Override PartName="/word/media/rId226.png" ContentType="image/png"/>
  <Override PartName="/word/media/rId230.png" ContentType="image/png"/>
  <Override PartName="/word/media/rId235.png" ContentType="image/png"/>
  <Override PartName="/word/media/rId239.png" ContentType="image/png"/>
  <Override PartName="/word/media/rId242.png" ContentType="image/png"/>
  <Override PartName="/word/media/rId245.png" ContentType="image/png"/>
  <Override PartName="/word/media/rId248.png" ContentType="image/png"/>
  <Override PartName="/word/media/rId11.png" ContentType="image/png"/>
  <Override PartName="/word/media/rId2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CoralBlox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reef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comparatively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w:t>
      </w:r>
    </w:p>
    <w:p>
      <w:pPr>
        <w:pStyle w:val="BodyText"/>
      </w:pPr>
      <w:r>
        <w:t xml:space="preserve">The central question addressed in this paper is: can such a simplified, size-structured representation of coral ecosystem dynamics reproduce observed coral cover trajectories on the GBR with sufficient skill to support management decision-making? We address this by (1) testing CoralBlox’s ability to reproduce historical coral cover trajectories against independent calibration and test reef sets; (2) quantifying model performance at both individual-reef and regional scales; and (3) using global sensitivity analysis to identify which ecological and environmental factors most strongly influence model outcomes. Together, these results establish the conditions under which CoralBlox’s efficiency-for-fidelity trade-off is justified,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referred to as</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Seastar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was 1.3 ± 0.1 seconds (mean ± standard deviation over 10 repetitions, single-core and single-threaded,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Only a fraction of the reefs monitored by the LTMP have enough observations to support a model performance assessment. We split these into a 75% calibration set and a 25% test set: model parameters were fit to the calibration set, while the test set was reserved to assess performance on unseen reefs. Refer to the</w:t>
      </w:r>
      <w:r>
        <w:t xml:space="preserve"> </w:t>
      </w:r>
      <w:r>
        <w:t xml:space="preserve">“Model calibration and testing”</w:t>
      </w:r>
      <w:r>
        <w:t xml:space="preserve"> </w:t>
      </w:r>
      <w:r>
        <w:t xml:space="preserve">section of the Materials and Methods for further details.</w:t>
      </w:r>
    </w:p>
    <w:p>
      <w:pPr>
        <w:pStyle w:val="BodyText"/>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Table S1 presents the bootstrapped median RMSE, ΔRMSE, SRCC, median bias and median absolute bias for calibration and test reefs, with 95% confidence intervals. The full distribution of scores underpinning Figure 2 and Table S1 is presented in Figures S5-S8.</w:t>
      </w:r>
    </w:p>
    <w:p>
      <w:pPr>
        <w:pStyle w:val="BodyText"/>
      </w:pPr>
      <w:r>
        <w:t xml:space="preserve">Table S2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 Unlike the other performance metrics reported in this study, these reef-group-level trends are not assessed via bootstrap resampling since most reef groups have too few reefs for meaningful resampling (as few as two reefs in some test reef groups). In both figures, consecutive years of the observed trajectory are connected by a solid line, so dots that appear unconnected on one or both sides indicate a gap in the historical data. The shaded intervals in these figures show the 95% range of cover across the reefs within each group.</w:t>
      </w:r>
    </w:p>
    <w:p>
      <w:pPr>
        <w:pStyle w:val="CaptionedFigure"/>
      </w:pPr>
      <w:r>
        <w:drawing>
          <wp:inline>
            <wp:extent cx="5394960" cy="6429237"/>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 \mathbf{\Delta RMSE}, 0.02 [0.01, 0.04], for test reefs \mathbf{\Delta RMSE}, 0.02 [-0.0, 0.05], for calibration reefs \mathbf{SRCC}, 0.77 [0.7, 0.82], and for test reefs SRCC, 0.82 [0.55,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5394960" cy="6429237"/>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[0.01, 0.04], for test reefs</w:t>
      </w:r>
      <w:r>
        <w:t xml:space="preserve"> </w:t>
      </w:r>
      <m:oMath>
        <m:r>
          <m:rPr>
            <m:sty m:val="b"/>
          </m:rPr>
          <m:t>Δ</m:t>
        </m:r>
        <m:r>
          <m:rPr>
            <m:sty m:val="b"/>
          </m:rPr>
          <m:t>R</m:t>
        </m:r>
        <m:r>
          <m:rPr>
            <m:sty m:val="b"/>
          </m:rPr>
          <m:t>M</m:t>
        </m:r>
        <m:r>
          <m:rPr>
            <m:sty m:val="b"/>
          </m:rPr>
          <m:t>S</m:t>
        </m:r>
        <m:r>
          <m:rPr>
            <m:sty m:val="b"/>
          </m:rPr>
          <m:t>E</m:t>
        </m:r>
      </m:oMath>
      <w:r>
        <w:t xml:space="preserve">, 0.02 [-0.0, 0.05], for calibration reefs</w:t>
      </w:r>
      <w:r>
        <w:t xml:space="preserve"> </w:t>
      </w:r>
      <m:oMath>
        <m:r>
          <m:rPr>
            <m:sty m:val="b"/>
          </m:rPr>
          <m:t>S</m:t>
        </m:r>
        <m:r>
          <m:rPr>
            <m:sty m:val="b"/>
          </m:rPr>
          <m:t>R</m:t>
        </m:r>
        <m:r>
          <m:rPr>
            <m:sty m:val="b"/>
          </m:rPr>
          <m:t>C</m:t>
        </m:r>
        <m:r>
          <m:rPr>
            <m:sty m:val="b"/>
          </m:rPr>
          <m:t>C</m:t>
        </m:r>
      </m:oMath>
      <w:r>
        <w:t xml:space="preserve">, 0.77 [0.7, 0.82], and for test reefs SRCC, 0.82 [0.55, 0.89].</w:t>
      </w:r>
    </w:p>
    <w:p>
      <w:pPr>
        <w:pStyle w:val="CaptionedFigure"/>
      </w:pPr>
      <w:r>
        <w:drawing>
          <wp:inline>
            <wp:extent cx="5400000" cy="4985228"/>
            <wp:effectExtent b="0" l="0" r="0" t="0"/>
            <wp:docPr descr="Figure 3. Observed versus modelled relative coral cover for calibration reefs aggregated by reef group. Shaded intervals show the 2.5th-97.5th percentile range of cover across reefs within each group."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the 2.5th-97.5th percentile range of cover across reefs within each group.</w:t>
      </w:r>
    </w:p>
    <w:p>
      <w:pPr>
        <w:pStyle w:val="CaptionedFigure"/>
      </w:pPr>
      <w:r>
        <w:drawing>
          <wp:inline>
            <wp:extent cx="5394960" cy="4980576"/>
            <wp:effectExtent b="0" l="0" r="0" t="0"/>
            <wp:docPr descr="Figure 4. Observed versus modelled relative coral cover for test reefs aggregated by reef group. Shaded intervals show the 2.5th-97.5th percentile range of cover across reefs within each group."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the 2.5th-97.5th percentile range of cover across reefs within each group.</w:t>
      </w:r>
    </w:p>
    <w:p>
      <w:pPr>
        <w:pStyle w:val="BodyText"/>
      </w:pPr>
      <w:r>
        <w:t xml:space="preserve">A comparison between modeled and observed relative coral cover for four selected test reefs is presented in Figure 5. The selected reefs (the two with the lowest and two with the highest ΔRMSE)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McCulloch Reef (No 1) (17-016a): Model RMSE = 0.08, Benchmark RMSE = 0.03, ΔRMSE = -0.06, SRCC = -0.2, Bias = 0.07; (B) Low Islands Reef (16-028): Model RMSE = 0.15, Benchmark RMSE = 0.1, ΔRMSE = -0.05, SRCC = 0.0, Bias = -0.08; (C) Rebe Reef (19-209): Model RMSE = 0.11, Benchmark RMSE = 0.23, ΔRMSE = 0.12, SRCC = 1.0, Bias = -0.05; (D) Ben Reef (20-113): 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McCulloch Reef (No 1) (17-016a):</w:t>
      </w:r>
      <w:r>
        <w:t xml:space="preserve"> </w:t>
      </w:r>
      <w:r>
        <w:t xml:space="preserve">Model RMSE = 0.08, Benchmark RMSE = 0.03, ΔRMSE = -0.06, SRCC = -0.2, Bias = 0.07; (</w:t>
      </w:r>
      <w:r>
        <w:rPr>
          <w:b/>
          <w:bCs/>
        </w:rPr>
        <w:t xml:space="preserve">B</w:t>
      </w:r>
      <w:r>
        <w:t xml:space="preserve">)</w:t>
      </w:r>
      <w:r>
        <w:t xml:space="preserve"> </w:t>
      </w:r>
      <w:r>
        <w:rPr>
          <w:b/>
          <w:bCs/>
        </w:rPr>
        <w:t xml:space="preserve">Low Islands Reef (16-028):</w:t>
      </w:r>
      <w:r>
        <w:t xml:space="preserve"> </w:t>
      </w:r>
      <w:r>
        <w:t xml:space="preserve">Model RMSE = 0.15, Benchmark RMSE = 0.1, ΔRMSE = -0.05, SRCC = 0.0, Bias = -0.08; (</w:t>
      </w:r>
      <w:r>
        <w:rPr>
          <w:b/>
          <w:bCs/>
        </w:rPr>
        <w:t xml:space="preserve">C</w:t>
      </w:r>
      <w:r>
        <w:t xml:space="preserve">)</w:t>
      </w:r>
      <w:r>
        <w:t xml:space="preserve"> </w:t>
      </w:r>
      <w:r>
        <w:rPr>
          <w:b/>
          <w:bCs/>
        </w:rPr>
        <w:t xml:space="preserve">Rebe Reef (19-209):</w:t>
      </w:r>
      <w:r>
        <w:t xml:space="preserve"> </w:t>
      </w:r>
      <w:r>
        <w:t xml:space="preserve">Model RMSE = 0.11, Benchmark RMSE = 0.23, ΔRMSE = 0.12, SRCC = 1.0, Bias = -0.05; (</w:t>
      </w:r>
      <w:r>
        <w:rPr>
          <w:b/>
          <w:bCs/>
        </w:rPr>
        <w:t xml:space="preserve">D</w:t>
      </w:r>
      <w:r>
        <w:t xml:space="preserve">)</w:t>
      </w:r>
      <w:r>
        <w:t xml:space="preserve"> </w:t>
      </w:r>
      <w:r>
        <w:rPr>
          <w:b/>
          <w:bCs/>
        </w:rPr>
        <w:t xml:space="preserve">Ben Reef (20-113):</w:t>
      </w:r>
      <w:r>
        <w:t xml:space="preserve"> </w:t>
      </w:r>
      <w:r>
        <w:t xml:space="preserve">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f4b65815f7ea45df2b7bd3131bac335bd03cd9a"/>
    <w:p>
      <w:pPr>
        <w:pStyle w:val="Heading2"/>
      </w:pPr>
      <w:r>
        <w:t xml:space="preserve">2.3 Coral survival under high DHW varies with depth</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shelter volume (measured in</w:t>
      </w:r>
      <w:r>
        <w:t xml:space="preserve"> </w:t>
      </w:r>
      <m:oMath>
        <m:sSup>
          <m:e>
            <m:r>
              <m:t>m</m:t>
            </m:r>
          </m:e>
          <m:sup>
            <m:r>
              <m:t>3</m:t>
            </m:r>
          </m:sup>
        </m:sSup>
      </m:oMath>
      <w:r>
        <w:t xml:space="preserve"> </w:t>
      </w:r>
      <w:r>
        <w:t xml:space="preserve">(26)</w:t>
      </w:r>
      <w:r>
        <w:t xml:space="preserve">), evenness (measure as the inverse of the Simpson’s Index</w:t>
      </w:r>
      <w:r>
        <w:t xml:space="preserve"> </w:t>
      </w:r>
      <w:r>
        <w:t xml:space="preserve">(27)</w:t>
      </w:r>
      <w:r>
        <w:t xml:space="preserve">) and juvenile cover (measured as the coral cover for the first two smaller size classes) over a single simulated timestep (Figure 6). The implementation of these metrics is described in</w:t>
      </w:r>
      <w:r>
        <w:t xml:space="preserve"> </w:t>
      </w:r>
      <w:r>
        <w:t xml:space="preserve">(28)</w:t>
      </w:r>
      <w:r>
        <w:t xml:space="preserve">. To produce each plot in Figure 6, we used 30 000 samples per DHW range. See Figure S4 for a convergence analysis. A synthetic (hypothetical) reef was used for this analysis, enabling parameterization of some of the reef’s environmental and ecological features (namely, habitable area, depth, and benthic composition); initial relative cover itself was held fixed at 0.3 across all scenarios, isolating the sensitivity analysis to compositional and environmental effects rather than absolute starting cover. Refer to Table S11 for a full list of all factors included in this analysis (219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figures/06_sensitivity_analysis.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a model input known to have no effect on model outcomes – to provide a statistical threshold</w:t>
      </w:r>
      <w:r>
        <w:t xml:space="preserve"> </w:t>
      </w:r>
      <w:r>
        <w:t xml:space="preserve">(29)</w:t>
      </w:r>
      <w:r>
        <w:t xml:space="preserve">. From the 219 factors included in the analysis, only the ones whose sensitivity indexes were higher than the dummy factor were included in the analysis. Under no heat stress (Figure 6A), linear extension and benthic composition (in particular for corymbose Acropora and corymbose non-Acropora) appear as the most influential factors for change in coral cover. In scenarios with a broad range of heat stress (Figure 6B), DHW dominates change in coral cover. Stratifying heat stress into low, medium and high ranges (Figure 6C</w:t>
      </w:r>
      <w:r>
        <w:rPr>
          <w:b/>
          <w:bCs/>
        </w:rPr>
        <w:t xml:space="preserve">-</w:t>
      </w:r>
      <w:r>
        <w:t xml:space="preserve">E) shows that, for this same metric, depth’s influence rivals DHW’s only in the medium-heat-stress range, where the depth-refuge effect can be the difference between a reef surviving or not. At low DHW, heat stress is rarely severe enough for depth to matter; at high DHW, it is severe enough to overwhelm the protection depth provides regardless of location. Depth’s contribution to coral cover therefore peaks in this intermediate heat-stress window, where its buffering capacity is neither redundant nor overwhelmed.</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 This is reflected in the bias metrics reported in Table S1: CoralBlox is intended to give a good indication of regional coral cover dynamics rather than to precisely predict any individual reef’s trajectory, so the near-zero signed median bias is relevant at the regional scale, while the larger median absolute bias reflects the expected margin of error at the individual reef scale.</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adopting familiar and tested ecological representations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Not representing COTS in projections implies an assumption that COTS-driven mortalities are captured by varying background mortality. Incorporating COTS dynamics is a key area of future work to align with GBR management priorities</w:t>
      </w:r>
      <w:r>
        <w:t xml:space="preserve"> </w:t>
      </w:r>
      <w:r>
        <w:t xml:space="preserve">(2, 40)</w:t>
      </w:r>
      <w:r>
        <w:t xml:space="preserve">.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used to represent the proportion of trait variance that is explained by additive genetic effects (fixed at 0.3;</w:t>
      </w:r>
      <w:r>
        <w:t xml:space="preserve"> </w:t>
      </w:r>
      <w:r>
        <w:t xml:space="preserve">(21)</w:t>
      </w:r>
      <w:r>
        <w:t xml:space="preserve">) is drawn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rPr>
                                <m:nor/>
                                <m:sty m:val="b"/>
                              </m:rPr>
                              <m:t>recruits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rPr>
                                        <m:nor/>
                                        <m:sty m:val="b"/>
                                      </m:rPr>
                                      <m:t>growth</m:t>
                                    </m:r>
                                  </m:sup>
                                </m:sSubSup>
                                <m:r>
                                  <m:rPr>
                                    <m:sty m:val="p"/>
                                  </m:rPr>
                                  <m:t>⋅</m:t>
                                </m:r>
                                <m:sSubSup>
                                  <m:e>
                                    <m:r>
                                      <m:t>v</m:t>
                                    </m:r>
                                  </m:e>
                                  <m:sub>
                                    <m:r>
                                      <m:t>g</m:t>
                                    </m:r>
                                    <m:r>
                                      <m:rPr>
                                        <m:sty m:val="p"/>
                                      </m:rPr>
                                      <m:t>,</m:t>
                                    </m:r>
                                    <m:r>
                                      <m:t>z</m:t>
                                    </m:r>
                                    <m:r>
                                      <m:rPr>
                                        <m:sty m:val="p"/>
                                      </m:rPr>
                                      <m:t>,</m:t>
                                    </m:r>
                                    <m:r>
                                      <m:t>l</m:t>
                                    </m:r>
                                  </m:sub>
                                  <m:sup>
                                    <m:r>
                                      <m:rPr>
                                        <m:nor/>
                                        <m:sty m:val="b"/>
                                      </m:rPr>
                                      <m:t>background</m:t>
                                    </m:r>
                                  </m:sup>
                                </m:sSubSup>
                                <m:r>
                                  <m:rPr>
                                    <m:sty m:val="p"/>
                                  </m:rPr>
                                  <m:t>⋅</m:t>
                                </m:r>
                                <m:sSubSup>
                                  <m:e>
                                    <m:r>
                                      <m:t>v</m:t>
                                    </m:r>
                                  </m:e>
                                  <m:sub>
                                    <m:r>
                                      <m:t>t</m:t>
                                    </m:r>
                                    <m:r>
                                      <m:rPr>
                                        <m:sty m:val="p"/>
                                      </m:rPr>
                                      <m:t>;</m:t>
                                    </m:r>
                                    <m:r>
                                      <m:t> </m:t>
                                    </m:r>
                                    <m:r>
                                      <m:t>g</m:t>
                                    </m:r>
                                    <m:r>
                                      <m:rPr>
                                        <m:sty m:val="p"/>
                                      </m:rPr>
                                      <m:t>,</m:t>
                                    </m:r>
                                    <m:r>
                                      <m:t>z</m:t>
                                    </m:r>
                                    <m:r>
                                      <m:rPr>
                                        <m:sty m:val="p"/>
                                      </m:rPr>
                                      <m:t>,</m:t>
                                    </m:r>
                                    <m:r>
                                      <m:t>l</m:t>
                                    </m:r>
                                  </m:sub>
                                  <m:sup>
                                    <m:r>
                                      <m:rPr>
                                        <m:nor/>
                                        <m:sty m:val="b"/>
                                      </m:rPr>
                                      <m:t>bleaching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rPr>
                <m:nor/>
                <m:sty m:val="b"/>
              </m:rPr>
              <m:t>recruits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rPr>
                <m:nor/>
                <m:sty m:val="b"/>
              </m:rPr>
              <m:t>growth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rPr>
                <m:nor/>
                <m:sty m:val="b"/>
              </m:rPr>
              <m:t>background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rPr>
                        <m:nor/>
                        <m:sty m:val="b"/>
                      </m:rPr>
                      <m:t>background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rPr>
                <m:nor/>
                <m:sty m:val="b"/>
              </m:rPr>
              <m:t>bleaching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rPr>
                <m:nor/>
                <m:sty m:val="b"/>
              </m:rPr>
              <m:t>growth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rPr>
                        <m:nor/>
                        <m:sty m:val="b"/>
                      </m:rPr>
                      <m:t>growth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p</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p</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rPr>
                                      <m:nor/>
                                      <m:sty m:val="b"/>
                                    </m:rPr>
                                    <m:t>base</m:t>
                                  </m:r>
                                </m:sup>
                              </m:sSup>
                            </m:num>
                            <m:den>
                              <m:r>
                                <m:t>1</m:t>
                              </m:r>
                              <m:r>
                                <m:rPr>
                                  <m:sty m:val="p"/>
                                </m:rPr>
                                <m:t>+</m:t>
                              </m:r>
                              <m:r>
                                <m:t>D</m:t>
                              </m:r>
                              <m:r>
                                <m:t>H</m:t>
                              </m:r>
                              <m:sSub>
                                <m:e>
                                  <m:r>
                                    <m:t>W</m:t>
                                  </m:r>
                                </m:e>
                                <m:sub>
                                  <m:r>
                                    <m:t>t</m:t>
                                  </m:r>
                                  <m:r>
                                    <m:rPr>
                                      <m:sty m:val="p"/>
                                    </m:rPr>
                                    <m:t>;</m:t>
                                  </m:r>
                                  <m:r>
                                    <m:t>l</m:t>
                                  </m:r>
                                </m:sub>
                              </m:sSub>
                              <m:r>
                                <m:rPr>
                                  <m:sty m:val="p"/>
                                </m:rPr>
                                <m:t>/</m:t>
                              </m:r>
                              <m:sSup>
                                <m:e>
                                  <m:r>
                                    <m:t>η</m:t>
                                  </m:r>
                                </m:e>
                                <m:sup>
                                  <m:r>
                                    <m:rPr>
                                      <m:nor/>
                                      <m:sty m:val="b"/>
                                    </m:rPr>
                                    <m:t>mix</m:t>
                                  </m:r>
                                </m:sup>
                              </m:sSup>
                            </m:den>
                          </m:f>
                          <m:r>
                            <m:rPr>
                              <m:sty m:val="p"/>
                            </m:rPr>
                            <m:t>,</m:t>
                          </m:r>
                        </m:e>
                        <m:e>
                          <m:sSup>
                            <m:e>
                              <m:r>
                                <m:t>η</m:t>
                              </m:r>
                            </m:e>
                            <m:sup>
                              <m:r>
                                <m:rPr>
                                  <m:nor/>
                                  <m:sty m:val="b"/>
                                </m:rPr>
                                <m:t>mix</m:t>
                              </m:r>
                            </m:sup>
                          </m:sSup>
                          <m:r>
                            <m:rPr>
                              <m:sty m:val="p"/>
                            </m:rPr>
                            <m:t>&gt;</m:t>
                          </m:r>
                          <m:r>
                            <m:t>0</m:t>
                          </m:r>
                        </m:e>
                      </m:mr>
                      <m:mr>
                        <m:e>
                          <m:r>
                            <m:t>0</m:t>
                          </m:r>
                          <m:r>
                            <m:rPr>
                              <m:sty m:val="p"/>
                            </m:rPr>
                            <m:t>,</m:t>
                          </m:r>
                        </m:e>
                        <m:e>
                          <m:sSup>
                            <m:e>
                              <m:r>
                                <m:t>η</m:t>
                              </m:r>
                            </m:e>
                            <m:sup>
                              <m:r>
                                <m:rPr>
                                  <m:nor/>
                                  <m:sty m:val="b"/>
                                </m:rPr>
                                <m:t>mix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rPr>
                <m:nor/>
                <m:sty m:val="b"/>
              </m:rPr>
              <m:t>base</m:t>
            </m:r>
          </m:sup>
        </m:sSup>
      </m:oMath>
      <w:r>
        <w:t xml:space="preserve">, in m</w:t>
      </w:r>
      <m:oMath>
        <m:sSup>
          <m:e>
            <m:r>
              <m:t>​</m:t>
            </m:r>
          </m:e>
          <m:sup>
            <m:r>
              <m:rPr>
                <m:sty m:val="p"/>
              </m:rPr>
              <m:t>−</m:t>
            </m:r>
            <m:r>
              <m:t>1</m:t>
            </m:r>
          </m:sup>
        </m:sSup>
      </m:oMath>
      <w:r>
        <w:t xml:space="preserve">) and a mixing factor (</w:t>
      </w:r>
      <m:oMath>
        <m:sSup>
          <m:e>
            <m:r>
              <m:t>η</m:t>
            </m:r>
          </m:e>
          <m:sup>
            <m:r>
              <m:rPr>
                <m:nor/>
                <m:sty m:val="b"/>
              </m:rPr>
              <m:t>mix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rPr>
                <m:nor/>
                <m:sty m:val="b"/>
              </m:rPr>
              <m:t>base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rPr>
                <m:nor/>
                <m:sty m:val="b"/>
              </m:rPr>
              <m:t>mix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rPr>
                        <m:nor/>
                        <m:sty m:val="b"/>
                      </m:rPr>
                      <m:t>bleaching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does not push the mean past that size class’s ceiling. The DHW tolerance distributions after the growth event can be written with Eqs.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rPr>
                        <m:nor/>
                        <m:sty m:val="b"/>
                      </m:rPr>
                      <m:t>growth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rPr>
                        <m:nor/>
                        <m:sty m:val="b"/>
                      </m:rPr>
                      <m:t>settler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rPr>
                                <m:nor/>
                                <m:sty m:val="b"/>
                              </m:rPr>
                              <m:t>settler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rPr>
                        <m:nor/>
                        <m:sty m:val="b"/>
                      </m:rPr>
                      <m:t>reprod.</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 (19) can push</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w:t>
      </w:r>
      <w:r>
        <w:t xml:space="preserve">above the source location’s own ceiling, and the connectivity-weighted combination in Eq. (20) can compound this across source locations,</w:t>
      </w:r>
      <w:r>
        <w:t xml:space="preserve"> </w:t>
      </w:r>
      <m:oMath>
        <m:sSubSup>
          <m:e>
            <m:r>
              <m:t>μ</m:t>
            </m:r>
          </m:e>
          <m:sub>
            <m:r>
              <m:t>t</m:t>
            </m:r>
            <m:r>
              <m:rPr>
                <m:sty m:val="p"/>
              </m:rPr>
              <m:t>;</m:t>
            </m:r>
            <m:r>
              <m:t>g</m:t>
            </m:r>
            <m:r>
              <m:rPr>
                <m:sty m:val="p"/>
              </m:rPr>
              <m:t>,</m:t>
            </m:r>
            <m:r>
              <m:t>1</m:t>
            </m:r>
            <m:r>
              <m:rPr>
                <m:sty m:val="p"/>
              </m:rPr>
              <m:t>,</m:t>
            </m:r>
            <m:r>
              <m:t>l</m:t>
            </m:r>
          </m:sub>
          <m:sup>
            <m:r>
              <m:rPr>
                <m:nor/>
                <m:sty m:val="b"/>
              </m:rPr>
              <m:t>reprod.</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across all reef groups (linear extensions, background mortality rates, initial mean thermal tolerances, and the DHW depth attenuation parameters), while others are resolved separately for each of the twelve reef groups (rate parameters of coral size exponential distribution, growth acceleration parameters, growth regional scale factors, and base mortality regional scale factors). The model parameters were fit to the calibration set using the Adaptive Differential Evolution algorithm</w:t>
      </w:r>
      <w:r>
        <w:t xml:space="preserve"> </w:t>
      </w:r>
      <w:r>
        <w:t xml:space="preserve">(73)</w:t>
      </w:r>
      <w:r>
        <w:t xml:space="preserve">, implemented in the BlackBoxOptim.jl Julia package</w:t>
      </w:r>
      <w:r>
        <w:t xml:space="preserve"> </w:t>
      </w:r>
      <w:r>
        <w:t xml:space="preserve">(74)</w:t>
      </w:r>
      <w:r>
        <w:t xml:space="preserve">,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p>
    <w:tbl>
      <w:tblPr>
        <w:tblStyle w:val="Table"/>
        <w:tblW w:type="pct" w:w="5000"/>
        <w:tblLayout w:type="fixed"/>
        <w:tblLook w:firstRow="1" w:lastRow="0" w:firstColumn="0" w:lastColumn="0" w:noHBand="0" w:noVBand="0" w:val="0020"/>
        <w:tblCaption w:val="Table 1. Parameters used in the calibration."/>
      </w:tblPr>
      <w:tblGrid>
        <w:gridCol w:w="2640"/>
        <w:gridCol w:w="2640"/>
        <w:gridCol w:w="2640"/>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calibrated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calibrated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calibrated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calibrated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+/- 20% of calibrated values</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+/- 20% of calibrated values</w:t>
            </w:r>
          </w:p>
        </w:tc>
        <w:tc>
          <w:tcPr/>
          <w:p>
            <w:pPr>
              <w:pStyle w:val="Compact"/>
              <w:jc w:val="left"/>
            </w:pPr>
            <w:r>
              <w:t xml:space="preserve">1</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245</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three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ii) the Spearman Rank Correlation Coefficient (SRCC) between observed and modelled relative coral cover, and iii) the bias,</w:t>
      </w:r>
      <w:r>
        <w:t xml:space="preserve"> </w:t>
      </w:r>
      <m:oMath>
        <m:r>
          <m:t>b</m:t>
        </m:r>
        <m:r>
          <m:t>i</m:t>
        </m:r>
        <m:r>
          <m:t>a</m:t>
        </m:r>
        <m:r>
          <m:t>s</m:t>
        </m:r>
        <m:r>
          <m:rPr>
            <m:sty m:val="p"/>
          </m:rPr>
          <m:t>=</m:t>
        </m:r>
        <m:r>
          <m:t>m</m:t>
        </m:r>
        <m:r>
          <m:t>e</m:t>
        </m:r>
        <m:r>
          <m:t>a</m:t>
        </m:r>
        <m:r>
          <m:t>n</m:t>
        </m:r>
        <m:d>
          <m:dPr>
            <m:begChr m:val="("/>
            <m:sepChr m:val=""/>
            <m:endChr m:val=")"/>
            <m:grow/>
          </m:dPr>
          <m:e>
            <m:acc>
              <m:accPr>
                <m:chr m:val="̂"/>
              </m:accPr>
              <m:e>
                <m:r>
                  <m:t>y</m:t>
                </m:r>
              </m:e>
            </m:acc>
            <m:r>
              <m:rPr>
                <m:sty m:val="p"/>
              </m:rPr>
              <m:t>−</m:t>
            </m:r>
            <m:r>
              <m:t>y</m:t>
            </m:r>
          </m:e>
        </m:d>
      </m:oMath>
      <w:r>
        <w:t xml:space="preserve">. Positive ΔRMSE values indicate reefs where CoralBlox outperforms the benchmark. SRCC values provide an indication of alignment in trends between simulation and observations. Positive bias values indicate CoralBlox overpredicts coral cover on average, negative values indicate underprediction.</w:t>
      </w:r>
    </w:p>
    <w:p>
      <w:pPr>
        <w:pStyle w:val="BodyText"/>
      </w:pPr>
      <w:r>
        <w:t xml:space="preserve">Uncertainty in these metrics was quantified via bootstrap resampling, using the Bootstrap.jl Julia package</w:t>
      </w:r>
      <w:r>
        <w:t xml:space="preserve"> </w:t>
      </w:r>
      <w:r>
        <w:t xml:space="preserve">(75)</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SRCC and bias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(76)</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(77)</w:t>
      </w:r>
      <w:r>
        <w:t xml:space="preserve">. For the heat-stress correlations, we calculated the SRCC between each reefs’ performance metric and the maximum cumulative thermal exposure, measured in DHW.</w:t>
      </w:r>
    </w:p>
    <w:p>
      <w:pPr>
        <w:pStyle w:val="BodyText"/>
      </w:pPr>
      <w:r>
        <w:t xml:space="preserve">AI-assisted tools (Anthropic’s Claude Sonnet 5 and Claude Opus 5) were used during the development of this study to write and refine portions of the code for the CoralBlox and ADRIA model implementations, the calibration pipeline, and the analysis scripts used to compute the performance metrics reported here (ΔRMSE, SRCC, bias, and their bootstrapped confidence intervals). All AI-assisted code was reviewed, tested, and validated by the authors against the model formulation described above prior to use.</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Xcb5b456dd7cb87a642416ecef41828e9902c59a"/>
    <w:p>
      <w:pPr>
        <w:pStyle w:val="Bibliography"/>
      </w:pPr>
      <w:r>
        <w:t xml:space="preserve">26.</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6">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7"/>
    <w:bookmarkStart w:id="99" w:name="ref-hillDiversityEvennessUnifying1973"/>
    <w:p>
      <w:pPr>
        <w:pStyle w:val="Bibliography"/>
      </w:pPr>
      <w:r>
        <w:t xml:space="preserve">27.</w:t>
      </w:r>
      <w:r>
        <w:t xml:space="preserve"> </w:t>
      </w:r>
      <w:r>
        <w:t xml:space="preserve">	</w:t>
      </w:r>
      <w:r>
        <w:t xml:space="preserve">M. O. Hill,</w:t>
      </w:r>
      <w:r>
        <w:t xml:space="preserve"> </w:t>
      </w:r>
      <w:hyperlink r:id="rId98">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X81557c63b0289a9098c577f968c772c4fd97fd1"/>
    <w:p>
      <w:pPr>
        <w:pStyle w:val="Bibliography"/>
      </w:pPr>
      <w:r>
        <w:t xml:space="preserve">73.</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87">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88"/>
    <w:bookmarkStart w:id="190" w:name="ref-feldtRobertfeldtBlackBoxOptimjl2023"/>
    <w:p>
      <w:pPr>
        <w:pStyle w:val="Bibliography"/>
      </w:pPr>
      <w:r>
        <w:t xml:space="preserve">74.</w:t>
      </w:r>
      <w:r>
        <w:t xml:space="preserve"> </w:t>
      </w:r>
      <w:r>
        <w:t xml:space="preserve">	</w:t>
      </w:r>
      <w:r>
        <w:t xml:space="preserve">R. Feldt, A. Stukalov, C. Rackauckas, Robertfeldt/</w:t>
      </w:r>
      <w:r>
        <w:t xml:space="preserve">BlackBoxOptim</w:t>
      </w:r>
      <w:r>
        <w:t xml:space="preserve">.jl (2023).</w:t>
      </w:r>
      <w:r>
        <w:t xml:space="preserve"> </w:t>
      </w:r>
      <w:hyperlink r:id="rId189">
        <w:r>
          <w:rPr>
            <w:rStyle w:val="Hyperlink"/>
          </w:rPr>
          <w:t xml:space="preserve">https://github.com/robertfeldt/BlackBoxOptim.jl</w:t>
        </w:r>
      </w:hyperlink>
      <w:r>
        <w:t xml:space="preserve">.</w:t>
      </w:r>
    </w:p>
    <w:bookmarkEnd w:id="190"/>
    <w:bookmarkStart w:id="192" w:name="ref-gehringJuliangehringBootstrapjl2023"/>
    <w:p>
      <w:pPr>
        <w:pStyle w:val="Bibliography"/>
      </w:pPr>
      <w:r>
        <w:t xml:space="preserve">75.</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91">
        <w:r>
          <w:rPr>
            <w:rStyle w:val="Hyperlink"/>
          </w:rPr>
          <w:t xml:space="preserve">https://doi.org/10.5281/zenodo.596080</w:t>
        </w:r>
      </w:hyperlink>
      <w:r>
        <w:t xml:space="preserve">.</w:t>
      </w:r>
    </w:p>
    <w:bookmarkEnd w:id="192"/>
    <w:bookmarkStart w:id="193" w:name="Xa83e23e167102cfe0c1fea1f6db60356621499d"/>
    <w:p>
      <w:pPr>
        <w:pStyle w:val="Bibliography"/>
      </w:pPr>
      <w:r>
        <w:t xml:space="preserve">76.</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93"/>
    <w:bookmarkStart w:id="195" w:name="X90d60492b4d63718ae429e70f3313976dfb865b"/>
    <w:p>
      <w:pPr>
        <w:pStyle w:val="Bibliography"/>
      </w:pPr>
      <w:r>
        <w:t xml:space="preserve">77.</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4">
        <w:r>
          <w:rPr>
            <w:rStyle w:val="Hyperlink"/>
          </w:rPr>
          <w:t xml:space="preserve">https://github.com/JuliaStats/Distances.jl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11"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9"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 &lt;&gt;.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To run the model, we used data from the ReefMod-GBR model</w:t>
      </w:r>
      <w:r>
        <w:t xml:space="preserve"> </w:t>
      </w:r>
      <w:r>
        <w:t xml:space="preserve">(35)</w:t>
      </w:r>
      <w:r>
        <w:t xml:space="preserve">, freely and openly available at</w:t>
      </w:r>
      <w:r>
        <w:t xml:space="preserve"> </w:t>
      </w:r>
      <w:hyperlink r:id="rId207">
        <w:r>
          <w:rPr>
            <w:rStyle w:val="Hyperlink"/>
          </w:rPr>
          <w:t xml:space="preserve">https://github.com/ymbozec/REEFMOD.7.2_GBR</w:t>
        </w:r>
      </w:hyperlink>
      <w:r>
        <w:t xml:space="preserve">. This data is available upon request; please send enquiries to y.bozec@uq.edu.au. Further details are available in the calibration code repository referenced above.</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8">
        <w:r>
          <w:rPr>
            <w:rStyle w:val="Hyperlink"/>
          </w:rPr>
          <w:t xml:space="preserve">https://coralreefwatch.noaa.gov/product/5km/</w:t>
        </w:r>
      </w:hyperlink>
      <w:r>
        <w:t xml:space="preserve">). Annual values are based on 1 July from the year prior to 30 June.</w:t>
      </w:r>
    </w:p>
    <w:bookmarkEnd w:id="209"/>
    <w:bookmarkStart w:id="210" w:name="ai-usage"/>
    <w:p>
      <w:pPr>
        <w:pStyle w:val="Heading2"/>
      </w:pPr>
      <w:r>
        <w:t xml:space="preserve">6.5 AI Usage</w:t>
      </w:r>
    </w:p>
    <w:p>
      <w:pPr>
        <w:pStyle w:val="FirstParagraph"/>
      </w:pPr>
      <w:r>
        <w:t xml:space="preserve">We acknowledge the use of AI-assisted tools (Claude Sonnet 5 and Claude Opus 5, Anthropic) in preparing this manuscript: drafting and revising portions of the text, generating the Quarto code used to render the manuscript and its figures, and producing the plots and performance metrics presented in the Results and Supplementary Materials. All AI-assisted content was reviewed and verified by the authors.</w:t>
      </w:r>
    </w:p>
    <w:bookmarkEnd w:id="210"/>
    <w:bookmarkEnd w:id="211"/>
    <w:bookmarkStart w:id="252" w:name="supplementary-materials"/>
    <w:p>
      <w:pPr>
        <w:pStyle w:val="Heading1"/>
      </w:pPr>
      <w:r>
        <w:t xml:space="preserve">7. Supplementary Materials</w:t>
      </w:r>
    </w:p>
    <w:bookmarkStart w:id="212" w:name="parameter-values"/>
    <w:p>
      <w:pPr>
        <w:pStyle w:val="Heading2"/>
      </w:pPr>
      <w:r>
        <w:t xml:space="preserve">7.1 Parameter values</w:t>
      </w:r>
    </w:p>
    <w:p>
      <w:pPr>
        <w:pStyle w:val="FirstParagraph"/>
      </w:pPr>
      <w:r>
        <w:rPr>
          <w:b/>
          <w:bCs/>
        </w:rPr>
        <w:t xml:space="preserve">Heritability = 0.3</w:t>
      </w:r>
    </w:p>
    <w:bookmarkEnd w:id="212"/>
    <w:bookmarkStart w:id="213" w:name="tables"/>
    <w:p>
      <w:pPr>
        <w:pStyle w:val="Heading2"/>
      </w:pPr>
      <w:r>
        <w:t xml:space="preserve">7.2 Tables</w:t>
      </w:r>
    </w:p>
    <w:p>
      <w:pPr>
        <w:pStyle w:val="TableCaption"/>
      </w:pPr>
      <w:r>
        <w:rPr>
          <w:b/>
          <w:bCs/>
        </w:rPr>
        <w:t xml:space="preserve">Table S1. Bootstrapped median performance metrics and 95% confidence intervals for calibration and test reefs.</w:t>
      </w:r>
    </w:p>
    <w:tbl>
      <w:tblPr>
        <w:tblStyle w:val="Table"/>
        <w:tblW w:type="auto" w:w="0"/>
        <w:tblLook w:firstRow="1" w:lastRow="0" w:firstColumn="0" w:lastColumn="0" w:noHBand="0" w:noVBand="0" w:val="0020"/>
        <w:tblCaption w:val="Table S1.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0.09]</w:t>
            </w:r>
          </w:p>
        </w:tc>
      </w:tr>
      <w:tr>
        <w:tc>
          <w:tcPr/>
          <w:p>
            <w:pPr>
              <w:pStyle w:val="Compact"/>
              <w:jc w:val="left"/>
            </w:pPr>
            <w:r>
              <w:t xml:space="preserve">ΔRMSE</w:t>
            </w:r>
          </w:p>
        </w:tc>
        <w:tc>
          <w:tcPr/>
          <w:p>
            <w:pPr>
              <w:pStyle w:val="Compact"/>
              <w:jc w:val="left"/>
            </w:pPr>
            <w:r>
              <w:t xml:space="preserve">0.02 [0.01, 0.04]</w:t>
            </w:r>
          </w:p>
        </w:tc>
        <w:tc>
          <w:tcPr/>
          <w:p>
            <w:pPr>
              <w:pStyle w:val="Compact"/>
              <w:jc w:val="left"/>
            </w:pPr>
            <w:r>
              <w:t xml:space="preserve">0.02 [-0.0, 0.05]</w:t>
            </w:r>
          </w:p>
        </w:tc>
      </w:tr>
      <w:tr>
        <w:tc>
          <w:tcPr/>
          <w:p>
            <w:pPr>
              <w:pStyle w:val="Compact"/>
              <w:jc w:val="left"/>
            </w:pPr>
            <w:r>
              <w:t xml:space="preserve">SRCC</w:t>
            </w:r>
          </w:p>
        </w:tc>
        <w:tc>
          <w:tcPr/>
          <w:p>
            <w:pPr>
              <w:pStyle w:val="Compact"/>
              <w:jc w:val="left"/>
            </w:pPr>
            <w:r>
              <w:t xml:space="preserve">0.77 [0.7, 0.82]</w:t>
            </w:r>
          </w:p>
        </w:tc>
        <w:tc>
          <w:tcPr/>
          <w:p>
            <w:pPr>
              <w:pStyle w:val="Compact"/>
              <w:jc w:val="left"/>
            </w:pPr>
            <w:r>
              <w:t xml:space="preserve">0.82 [0.55, 0.89]</w:t>
            </w:r>
          </w:p>
        </w:tc>
      </w:tr>
      <w:tr>
        <w:tc>
          <w:tcPr/>
          <w:p>
            <w:pPr>
              <w:pStyle w:val="Compact"/>
              <w:jc w:val="left"/>
            </w:pPr>
            <w:r>
              <w:t xml:space="preserve">Bias</w:t>
            </w:r>
          </w:p>
        </w:tc>
        <w:tc>
          <w:tcPr/>
          <w:p>
            <w:pPr>
              <w:pStyle w:val="Compact"/>
              <w:jc w:val="left"/>
            </w:pPr>
            <w:r>
              <w:t xml:space="preserve">-0.01 [-0.02, -0.0]</w:t>
            </w:r>
          </w:p>
        </w:tc>
        <w:tc>
          <w:tcPr/>
          <w:p>
            <w:pPr>
              <w:pStyle w:val="Compact"/>
              <w:jc w:val="left"/>
            </w:pPr>
            <w:r>
              <w:t xml:space="preserve">-0.01 [-0.03, 0.02]</w:t>
            </w:r>
          </w:p>
        </w:tc>
      </w:tr>
      <w:tr>
        <w:tc>
          <w:tcPr/>
          <w:p>
            <w:pPr>
              <w:pStyle w:val="Compact"/>
              <w:jc w:val="left"/>
            </w:pPr>
            <w:r>
              <w:t xml:space="preserve">|Bias|</w:t>
            </w:r>
          </w:p>
        </w:tc>
        <w:tc>
          <w:tcPr/>
          <w:p>
            <w:pPr>
              <w:pStyle w:val="Compact"/>
              <w:jc w:val="left"/>
            </w:pPr>
            <w:r>
              <w:t xml:space="preserve">0.03 [0.02, 0.04]</w:t>
            </w:r>
          </w:p>
        </w:tc>
        <w:tc>
          <w:tcPr/>
          <w:p>
            <w:pPr>
              <w:pStyle w:val="Compact"/>
              <w:jc w:val="left"/>
            </w:pPr>
            <w:r>
              <w:t xml:space="preserve">0.03 [0.02, 0.06]</w:t>
            </w:r>
          </w:p>
        </w:tc>
      </w:tr>
    </w:tbl>
    <w:p>
      <w:pPr>
        <w:pStyle w:val="BodyText"/>
      </w:pPr>
      <w:r>
        <w:t xml:space="preserve"> </w:t>
      </w:r>
    </w:p>
    <w:p>
      <w:pPr>
        <w:pStyle w:val="TableCaption"/>
      </w:pPr>
      <w:r>
        <w:rPr>
          <w:b/>
          <w:bCs/>
        </w:rPr>
        <w:t xml:space="preserve">Table S2.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2.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0.38 [0.19, 0.6]</w:t>
            </w:r>
          </w:p>
        </w:tc>
        <w:tc>
          <w:tcPr/>
          <w:p>
            <w:pPr>
              <w:pStyle w:val="Compact"/>
              <w:jc w:val="left"/>
            </w:pPr>
            <w:r>
              <w:t xml:space="preserve">-0.4 [-0.64, -0.22]</w:t>
            </w:r>
          </w:p>
        </w:tc>
        <w:tc>
          <w:tcPr/>
          <w:p>
            <w:pPr>
              <w:pStyle w:val="Compact"/>
              <w:jc w:val="left"/>
            </w:pPr>
            <w:r>
              <w:t xml:space="preserve">-0.42 [-0.63, -0.23]</w:t>
            </w:r>
          </w:p>
        </w:tc>
      </w:tr>
      <w:tr>
        <w:tc>
          <w:tcPr/>
          <w:p>
            <w:pPr>
              <w:pStyle w:val="Compact"/>
              <w:jc w:val="left"/>
            </w:pPr>
            <w:r>
              <w:t xml:space="preserve">ΔRMSE Test</w:t>
            </w:r>
          </w:p>
        </w:tc>
        <w:tc>
          <w:tcPr/>
          <w:p>
            <w:pPr>
              <w:pStyle w:val="Compact"/>
              <w:jc w:val="left"/>
            </w:pPr>
            <w:r>
              <w:t xml:space="preserve">0.44 [0.2, 0.79]</w:t>
            </w:r>
          </w:p>
        </w:tc>
        <w:tc>
          <w:tcPr/>
          <w:p>
            <w:pPr>
              <w:pStyle w:val="Compact"/>
              <w:jc w:val="left"/>
            </w:pPr>
            <w:r>
              <w:t xml:space="preserve">-0.38 [-0.75, -0.13]</w:t>
            </w:r>
          </w:p>
        </w:tc>
        <w:tc>
          <w:tcPr/>
          <w:p>
            <w:pPr>
              <w:pStyle w:val="Compact"/>
              <w:jc w:val="left"/>
            </w:pPr>
            <w:r>
              <w:t xml:space="preserve">-0.53 [-0.9, -0.28]</w:t>
            </w:r>
          </w:p>
        </w:tc>
      </w:tr>
      <w:tr>
        <w:tc>
          <w:tcPr/>
          <w:p>
            <w:pPr>
              <w:pStyle w:val="Compact"/>
              <w:jc w:val="left"/>
            </w:pPr>
            <w:r>
              <w:t xml:space="preserve">SRCC Calibration</w:t>
            </w:r>
          </w:p>
        </w:tc>
        <w:tc>
          <w:tcPr/>
          <w:p>
            <w:pPr>
              <w:pStyle w:val="Compact"/>
              <w:jc w:val="left"/>
            </w:pPr>
            <w:r>
              <w:t xml:space="preserve">0.24 [0.02, 0.49]</w:t>
            </w:r>
          </w:p>
        </w:tc>
        <w:tc>
          <w:tcPr/>
          <w:p>
            <w:pPr>
              <w:pStyle w:val="Compact"/>
              <w:jc w:val="left"/>
            </w:pPr>
            <w:r>
              <w:t xml:space="preserve">-0.26 [-0.5, -0.06]</w:t>
            </w:r>
          </w:p>
        </w:tc>
        <w:tc>
          <w:tcPr/>
          <w:p>
            <w:pPr>
              <w:pStyle w:val="Compact"/>
              <w:jc w:val="left"/>
            </w:pPr>
            <w:r>
              <w:t xml:space="preserve">-0.48 [-0.67, -0.3]</w:t>
            </w:r>
          </w:p>
        </w:tc>
      </w:tr>
      <w:tr>
        <w:tc>
          <w:tcPr/>
          <w:p>
            <w:pPr>
              <w:pStyle w:val="Compact"/>
              <w:jc w:val="left"/>
            </w:pPr>
            <w:r>
              <w:t xml:space="preserve">SRCC Test</w:t>
            </w:r>
          </w:p>
        </w:tc>
        <w:tc>
          <w:tcPr/>
          <w:p>
            <w:pPr>
              <w:pStyle w:val="Compact"/>
              <w:jc w:val="left"/>
            </w:pPr>
            <w:r>
              <w:t xml:space="preserve">0.4 [0.15, 0.78]</w:t>
            </w:r>
          </w:p>
        </w:tc>
        <w:tc>
          <w:tcPr/>
          <w:p>
            <w:pPr>
              <w:pStyle w:val="Compact"/>
              <w:jc w:val="left"/>
            </w:pPr>
            <w:r>
              <w:t xml:space="preserve">-0.34 [-0.71, -0.05]</w:t>
            </w:r>
          </w:p>
        </w:tc>
        <w:tc>
          <w:tcPr/>
          <w:p>
            <w:pPr>
              <w:pStyle w:val="Compact"/>
              <w:jc w:val="left"/>
            </w:pPr>
            <w:r>
              <w:t xml:space="preserve">-0.48 [-0.81, -0.25]</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3"/>
    <w:bookmarkStart w:id="214"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 (8S),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4"/>
    <w:bookmarkStart w:id="220"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5"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5"/>
    <w:bookmarkStart w:id="216"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6"/>
    <w:bookmarkStart w:id="217"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7"/>
    <w:bookmarkStart w:id="218"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8"/>
    <w:bookmarkStart w:id="219"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9"/>
    <w:bookmarkEnd w:id="220"/>
    <w:bookmarkStart w:id="234"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(73)</w:t>
      </w:r>
      <w:r>
        <w:t xml:space="preserve">, implemented in the BlackBoxOptim.jl Julia package</w:t>
      </w:r>
      <w:r>
        <w:t xml:space="preserve"> </w:t>
      </w:r>
      <w:r>
        <w:t xml:space="preserve">(74)</w:t>
      </w:r>
      <w:r>
        <w:t xml:space="preserve">. The parameter bound settings, data split and objective function are described in more detail in the following sections</w:t>
      </w:r>
    </w:p>
    <w:bookmarkStart w:id="224"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2" name="Picture"/>
            <a:graphic>
              <a:graphicData uri="http://schemas.openxmlformats.org/drawingml/2006/picture">
                <pic:pic>
                  <pic:nvPicPr>
                    <pic:cNvPr descr="media/image7.png" id="223" name="Picture"/>
                    <pic:cNvPicPr>
                      <a:picLocks noChangeArrowheads="1" noChangeAspect="1"/>
                    </pic:cNvPicPr>
                  </pic:nvPicPr>
                  <pic:blipFill>
                    <a:blip r:embed="rId221"/>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4"/>
    <w:bookmarkStart w:id="225" w:name="objective-function"/>
    <w:p>
      <w:pPr>
        <w:pStyle w:val="Heading3"/>
      </w:pPr>
      <w:r>
        <w:t xml:space="preserve">7.5.2 Objective function</w:t>
      </w:r>
    </w:p>
    <w:p>
      <w:pPr>
        <w:pStyle w:val="FirstParagraph"/>
      </w:pPr>
      <w:r>
        <w:t xml:space="preserve">The objective function used to optimize the parameterization of CoralBlox has two components: a total cover error and a coral composition error. AIMS’ Long Term Monitoring Program (LTMP) Manta Tow data was used as the target reef coral cover levels, and coral composition data derived from AIMS’ LTMP photogrammetry data was used as the target coral composition levels.</w:t>
      </w:r>
    </w:p>
    <w:p>
      <w:pPr>
        <w:pStyle w:val="BodyText"/>
      </w:pPr>
      <w:r>
        <w:t xml:space="preserve">The total cover error combines a year-weighted mean absolute error over the calibration period with two further terms scoring how well each reef’s observed peak and trough in coral cover are reproduced. The per-year error, calculated across all reefs</w:t>
      </w:r>
      <w:r>
        <w:t xml:space="preserve"> </w:t>
      </w:r>
      <m:oMath>
        <m:r>
          <m:t>l</m:t>
        </m:r>
      </m:oMath>
      <w:r>
        <w:t xml:space="preserve"> </w:t>
      </w:r>
      <w:r>
        <w:t xml:space="preserve">with an observed value at year</w:t>
      </w:r>
      <w:r>
        <w:t xml:space="preserve"> </w:t>
      </w:r>
      <m:oMath>
        <m:r>
          <m:t>t</m:t>
        </m:r>
      </m:oMath>
      <w:r>
        <w:t xml:space="preserve"> </w:t>
      </w:r>
      <w:r>
        <w:t xml:space="preserve">(</w:t>
      </w:r>
      <m:oMath>
        <m:sSub>
          <m:e>
            <m:r>
              <m:t>L</m:t>
            </m:r>
          </m:e>
          <m:sub>
            <m:r>
              <m:t>t</m:t>
            </m:r>
          </m:sub>
        </m:sSub>
      </m:oMath>
      <w:r>
        <w:t xml:space="preserve">, with</w:t>
      </w:r>
      <w:r>
        <w:t xml:space="preserve"> </w:t>
      </w:r>
      <m:oMath>
        <m:sSub>
          <m:e>
            <m:r>
              <m:t>N</m:t>
            </m:r>
          </m:e>
          <m:sub>
            <m:r>
              <m:t>t</m:t>
            </m:r>
          </m:sub>
        </m:sSub>
        <m:r>
          <m:rPr>
            <m:sty m:val="p"/>
          </m:rPr>
          <m:t>=</m:t>
        </m:r>
        <m:d>
          <m:dPr>
            <m:begChr m:val="|"/>
            <m:sepChr m:val=""/>
            <m:endChr m:val="|"/>
            <m:grow/>
          </m:dPr>
          <m:e>
            <m:sSub>
              <m:e>
                <m:r>
                  <m:t>L</m:t>
                </m:r>
              </m:e>
              <m:sub>
                <m:r>
                  <m:t>t</m:t>
                </m:r>
              </m:sub>
            </m:sSub>
          </m:e>
        </m:d>
      </m:oMath>
      <w:r>
        <w:t xml:space="preserve"> </w:t>
      </w:r>
      <w:r>
        <w:t xml:space="preserve">reefs),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t</m:t>
                    </m:r>
                  </m:sub>
                </m:sSub>
                <m:r>
                  <m:rPr>
                    <m:sty m:val="p"/>
                  </m:rPr>
                  <m:t>=</m:t>
                </m:r>
                <m:f>
                  <m:fPr>
                    <m:type m:val="bar"/>
                  </m:fPr>
                  <m:num>
                    <m:r>
                      <m:t>1</m:t>
                    </m:r>
                  </m:num>
                  <m:den>
                    <m:sSub>
                      <m:e>
                        <m:r>
                          <m:t>N</m:t>
                        </m:r>
                      </m:e>
                      <m:sub>
                        <m:r>
                          <m:t>t</m:t>
                        </m:r>
                      </m:sub>
                    </m:sSub>
                  </m:den>
                </m:f>
                <m:nary>
                  <m:naryPr>
                    <m:chr m:val="∑"/>
                    <m:limLoc m:val="undOvr"/>
                    <m:subHide m:val="off"/>
                    <m:supHide m:val="on"/>
                  </m:naryPr>
                  <m:sub>
                    <m:r>
                      <m:t>l</m:t>
                    </m:r>
                    <m:r>
                      <m:rPr>
                        <m:sty m:val="p"/>
                      </m:rPr>
                      <m:t>∈</m:t>
                    </m:r>
                    <m:sSub>
                      <m:e>
                        <m:r>
                          <m:t>L</m:t>
                        </m:r>
                      </m:e>
                      <m:sub>
                        <m:r>
                          <m:t>t</m:t>
                        </m:r>
                      </m:sub>
                    </m:sSub>
                  </m:sub>
                  <m:sup>
                    <m:r>
                      <m:t>​</m:t>
                    </m:r>
                  </m:sup>
                  <m:e>
                    <m:d>
                      <m:dPr>
                        <m:begChr m:val="|"/>
                        <m:sepChr m:val=""/>
                        <m:endChr m:val="|"/>
                        <m:grow/>
                      </m:dPr>
                      <m:e>
                        <m:sSub>
                          <m:e>
                            <m:r>
                              <m:t>y</m:t>
                            </m:r>
                          </m:e>
                          <m:sub>
                            <m:r>
                              <m:t>t</m:t>
                            </m:r>
                            <m:r>
                              <m:rPr>
                                <m:sty m:val="p"/>
                              </m:rPr>
                              <m:t>,</m:t>
                            </m:r>
                            <m:r>
                              <m:t>l</m:t>
                            </m:r>
                          </m:sub>
                        </m:sSub>
                        <m:r>
                          <m:rPr>
                            <m:sty m:val="p"/>
                          </m:rPr>
                          <m:t>−</m:t>
                        </m:r>
                        <m:sSub>
                          <m:e>
                            <m:acc>
                              <m:accPr>
                                <m:chr m:val="̂"/>
                              </m:accPr>
                              <m:e>
                                <m:r>
                                  <m:t>y</m:t>
                                </m:r>
                              </m:e>
                            </m:acc>
                          </m:e>
                          <m:sub>
                            <m:r>
                              <m:t>t</m:t>
                            </m:r>
                            <m:r>
                              <m:rPr>
                                <m:sty m:val="p"/>
                              </m:rPr>
                              <m:t>,</m:t>
                            </m:r>
                            <m:r>
                              <m:t>l</m:t>
                            </m:r>
                          </m:sub>
                        </m:sSub>
                      </m:e>
                    </m:d>
                  </m:e>
                </m:nary>
              </m:oMath>
            </m:oMathPara>
          </w:p>
        </w:tc>
        <w:tc>
          <w:tcPr/>
          <w:p>
            <w:pPr>
              <w:pStyle w:val="Compact"/>
            </w:pPr>
            <w:r>
              <w:t xml:space="preserve">(21S)</w:t>
            </w:r>
          </w:p>
        </w:tc>
      </w:tr>
    </w:tbl>
    <w:p>
      <w:pPr>
        <w:pStyle w:val="BodyText"/>
      </w:pPr>
      <w:r>
        <w:t xml:space="preserve">Because CoralBlox is run forward from its initial cover without re-anchoring to observations, error compounds over the course of a simulation. Later years, and years with more reporting reefs, are therefore weighted more heavily when combining the per-year errors into a single reef performance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f>
                  <m:fPr>
                    <m:type m:val="bar"/>
                  </m:fPr>
                  <m:num>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r>
                          <m:rPr>
                            <m:sty m:val="p"/>
                          </m:rPr>
                          <m:t>⋅</m:t>
                        </m:r>
                        <m:r>
                          <m:t>E</m:t>
                        </m:r>
                        <m:r>
                          <m:t>r</m:t>
                        </m:r>
                        <m:sSub>
                          <m:e>
                            <m:r>
                              <m:t>r</m:t>
                            </m:r>
                          </m:e>
                          <m:sub>
                            <m:r>
                              <m:t>t</m:t>
                            </m:r>
                          </m:sub>
                        </m:sSub>
                      </m:e>
                    </m:nary>
                  </m:num>
                  <m:den>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e>
                    </m:nary>
                  </m:den>
                </m:f>
              </m:oMath>
            </m:oMathPara>
          </w:p>
          <w:p>
            <w:pPr>
              <w:pStyle w:val="Compact"/>
            </w:pPr>
            <m:oMathPara>
              <m:oMathParaPr>
                <m:jc m:val="center"/>
              </m:oMathParaPr>
              <m:oMath>
                <m:sSub>
                  <m:e>
                    <m:r>
                      <m:t>w</m:t>
                    </m:r>
                  </m:e>
                  <m:sub>
                    <m:r>
                      <m:t>t</m:t>
                    </m:r>
                  </m:sub>
                </m:sSub>
                <m:r>
                  <m:rPr>
                    <m:sty m:val="p"/>
                  </m:rPr>
                  <m:t>=</m:t>
                </m:r>
                <m:r>
                  <m:t>t</m:t>
                </m:r>
                <m:r>
                  <m:rPr>
                    <m:sty m:val="p"/>
                  </m:rPr>
                  <m:t>⋅</m:t>
                </m:r>
                <m:rad>
                  <m:radPr>
                    <m:degHide m:val="on"/>
                  </m:radPr>
                  <m:deg/>
                  <m:e>
                    <m:sSub>
                      <m:e>
                        <m:r>
                          <m:t>N</m:t>
                        </m:r>
                      </m:e>
                      <m:sub>
                        <m:r>
                          <m:t>t</m:t>
                        </m:r>
                      </m:sub>
                    </m:sSub>
                  </m:e>
                </m:rad>
              </m:oMath>
            </m:oMathPara>
          </w:p>
        </w:tc>
        <w:tc>
          <w:tcPr/>
          <w:p>
            <w:pPr>
              <w:pStyle w:val="Compact"/>
            </w:pPr>
            <w:r>
              <w:t xml:space="preserve">(22S)</w:t>
            </w:r>
          </w:p>
        </w:tc>
      </w:tr>
    </w:tbl>
    <w:p>
      <w:pPr>
        <w:pStyle w:val="BodyText"/>
      </w:pPr>
      <w:r>
        <w:t xml:space="preserve">where</w:t>
      </w:r>
      <w:r>
        <w:t xml:space="preserve"> </w:t>
      </w:r>
      <m:oMath>
        <m:r>
          <m:t>t</m:t>
        </m:r>
      </m:oMath>
      <w:r>
        <w:t xml:space="preserve"> </w:t>
      </w:r>
      <w:r>
        <w:t xml:space="preserve">is the year index (1 for the first calibration year, increasing thereafter), and reefs surveyed in the same year are assumed not to fail independently of one another, so</w:t>
      </w:r>
      <w:r>
        <w:t xml:space="preserve"> </w:t>
      </w:r>
      <m:oMath>
        <m:sSub>
          <m:e>
            <m:r>
              <m:t>N</m:t>
            </m:r>
          </m:e>
          <m:sub>
            <m:r>
              <m:t>t</m:t>
            </m:r>
          </m:sub>
        </m:sSub>
      </m:oMath>
      <w:r>
        <w:t xml:space="preserve"> </w:t>
      </w:r>
      <w:r>
        <w:t xml:space="preserve">enters as</w:t>
      </w:r>
      <w:r>
        <w:t xml:space="preserve"> </w:t>
      </w:r>
      <m:oMath>
        <m:rad>
          <m:radPr>
            <m:degHide m:val="on"/>
          </m:radPr>
          <m:deg/>
          <m:e>
            <m:sSub>
              <m:e>
                <m:r>
                  <m:t>N</m:t>
                </m:r>
              </m:e>
              <m:sub>
                <m:r>
                  <m:t>t</m:t>
                </m:r>
              </m:sub>
            </m:sSub>
          </m:e>
        </m:rad>
      </m:oMath>
      <w:r>
        <w:t xml:space="preserve"> </w:t>
      </w:r>
      <w:r>
        <w:t xml:space="preserve">rather than linearly. Years with no reporting reefs are excluded from Eq. (22S).</w:t>
      </w:r>
    </w:p>
    <w:p>
      <w:pPr>
        <w:pStyle w:val="BodyText"/>
      </w:pPr>
      <w:r>
        <w:t xml:space="preserve">Modelled coral composition data derived from LTMP photogrammetry data was used to inform the initial coral composition at specific locations and as the target coral composition for subsequent historic years. Coral composition data was not recorded at all locations where manta tow coral cover levels are recorded; the assumption is that composition at fixed-site photogrammetry locations is representative of composition at nearby manta tow locations. Compositional mismatch between simulated and observed functional group cover was calculated using Bray-Curtis dissimilarity between the observed (</w:t>
      </w:r>
      <m:oMath>
        <m:sSub>
          <m:e>
            <m:r>
              <m:t>c</m:t>
            </m:r>
          </m:e>
          <m:sub>
            <m:r>
              <m:t>t</m:t>
            </m:r>
            <m:r>
              <m:rPr>
                <m:sty m:val="p"/>
              </m:rPr>
              <m:t>,</m:t>
            </m:r>
            <m:r>
              <m:t>g</m:t>
            </m:r>
            <m:r>
              <m:rPr>
                <m:sty m:val="p"/>
              </m:rPr>
              <m:t>,</m:t>
            </m:r>
            <m:r>
              <m:t>l</m:t>
            </m:r>
          </m:sub>
        </m:sSub>
      </m:oMath>
      <w:r>
        <w:t xml:space="preserve">) and modelled (</w:t>
      </w:r>
      <m:oMath>
        <m:sSub>
          <m:e>
            <m:acc>
              <m:accPr>
                <m:chr m:val="̂"/>
              </m:accPr>
              <m:e>
                <m:r>
                  <m:t>c</m:t>
                </m:r>
              </m:e>
            </m:acc>
          </m:e>
          <m:sub>
            <m:r>
              <m:t>t</m:t>
            </m:r>
            <m:r>
              <m:rPr>
                <m:sty m:val="p"/>
              </m:rPr>
              <m:t>,</m:t>
            </m:r>
            <m:r>
              <m:t>g</m:t>
            </m:r>
            <m:r>
              <m:rPr>
                <m:sty m:val="p"/>
              </m:rPr>
              <m:t>,</m:t>
            </m:r>
            <m:r>
              <m:t>l</m:t>
            </m:r>
          </m:sub>
        </m:sSub>
      </m:oMath>
      <w:r>
        <w:t xml:space="preserve">) proportional cover of each functional group</w:t>
      </w:r>
      <w:r>
        <w:t xml:space="preserve"> </w:t>
      </w:r>
      <m:oMath>
        <m:r>
          <m:t>g</m:t>
        </m:r>
      </m:oMath>
      <w:r>
        <w:t xml:space="preserve">, and averaged into a single Coral Composition Error (CCE). Bray-Curtis dissimilarity was used in preference to a correlation-based measure for two reasons: a correlation coefficient computed across only five functional groups is statistically unstable, and functional group proportions are compositional (closure-bound, summing to one), which makes correlation among them prone to spurious signal regardless of sample size. Bray-Curtis compares the two composition vectors directly, without any correlation or sampling estimation step, so neither issue applies: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B</m:t>
                </m:r>
                <m:sSub>
                  <m:e>
                    <m:r>
                      <m:t>C</m:t>
                    </m:r>
                  </m:e>
                  <m:sub>
                    <m:r>
                      <m:t>t</m:t>
                    </m:r>
                    <m:r>
                      <m:rPr>
                        <m:sty m:val="p"/>
                      </m:rPr>
                      <m:t>,</m:t>
                    </m:r>
                    <m:r>
                      <m:t>l</m:t>
                    </m:r>
                  </m:sub>
                </m:sSub>
                <m:r>
                  <m:rPr>
                    <m:sty m:val="p"/>
                  </m:rPr>
                  <m:t>=</m:t>
                </m:r>
                <m:f>
                  <m:fPr>
                    <m:type m:val="bar"/>
                  </m:fPr>
                  <m:num>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num>
                  <m:den>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den>
                </m:f>
              </m:oMath>
            </m:oMathPara>
          </w:p>
          <w:p>
            <w:pPr>
              <w:pStyle w:val="Compact"/>
            </w:pPr>
            <m:oMathPara>
              <m:oMathParaPr>
                <m:jc m:val="center"/>
              </m:oMathParaPr>
              <m:oMath>
                <m:r>
                  <m:t>C</m:t>
                </m:r>
                <m:r>
                  <m:t>C</m:t>
                </m:r>
                <m:r>
                  <m:t>E</m:t>
                </m:r>
                <m:r>
                  <m:rPr>
                    <m:sty m:val="p"/>
                  </m:rPr>
                  <m:t>=</m:t>
                </m:r>
                <m:f>
                  <m:fPr>
                    <m:type m:val="bar"/>
                  </m:fPr>
                  <m:num>
                    <m:r>
                      <m:t>1</m:t>
                    </m:r>
                  </m:num>
                  <m:den>
                    <m:d>
                      <m:dPr>
                        <m:begChr m:val="|"/>
                        <m:sepChr m:val=""/>
                        <m:endChr m:val="|"/>
                        <m:grow/>
                      </m:dPr>
                      <m:e>
                        <m:sSup>
                          <m:e>
                            <m:r>
                              <m:t>L</m:t>
                            </m:r>
                          </m:e>
                          <m:sup>
                            <m:r>
                              <m:rPr>
                                <m:nor/>
                                <m:sty m:val="b"/>
                              </m:rPr>
                              <m:t>comp</m:t>
                            </m:r>
                          </m:sup>
                        </m:sSup>
                      </m:e>
                    </m:d>
                  </m:den>
                </m:f>
                <m:nary>
                  <m:naryPr>
                    <m:chr m:val="∑"/>
                    <m:limLoc m:val="undOvr"/>
                    <m:subHide m:val="off"/>
                    <m:supHide m:val="on"/>
                  </m:naryPr>
                  <m:sub>
                    <m:r>
                      <m:t>l</m:t>
                    </m:r>
                    <m:r>
                      <m:rPr>
                        <m:sty m:val="p"/>
                      </m:rPr>
                      <m:t>∈</m:t>
                    </m:r>
                    <m:sSup>
                      <m:e>
                        <m:r>
                          <m:t>L</m:t>
                        </m:r>
                      </m:e>
                      <m:sup>
                        <m:r>
                          <m:rPr>
                            <m:nor/>
                            <m:sty m:val="b"/>
                          </m:rPr>
                          <m:t>comp</m:t>
                        </m:r>
                      </m:sup>
                    </m:sSup>
                  </m:sub>
                  <m:sup>
                    <m:r>
                      <m:t>​</m:t>
                    </m:r>
                  </m:sup>
                  <m:e>
                    <m:r>
                      <m:t>C</m:t>
                    </m:r>
                    <m:r>
                      <m:t>C</m:t>
                    </m:r>
                    <m:sSub>
                      <m:e>
                        <m:r>
                          <m:t>E</m:t>
                        </m:r>
                      </m:e>
                      <m:sub>
                        <m:r>
                          <m:t>l</m:t>
                        </m:r>
                      </m:sub>
                    </m:sSub>
                  </m:e>
                </m:nary>
              </m:oMath>
            </m:oMathPara>
          </w:p>
        </w:tc>
        <w:tc>
          <w:tcPr/>
          <w:p>
            <w:pPr>
              <w:pStyle w:val="Compact"/>
            </w:pPr>
            <w:r>
              <w:t xml:space="preserve">(23S)</w:t>
            </w:r>
          </w:p>
        </w:tc>
      </w:tr>
    </w:tbl>
    <w:p>
      <w:pPr>
        <w:pStyle w:val="BodyText"/>
      </w:pPr>
      <w:r>
        <w:t xml:space="preserve">where</w:t>
      </w:r>
      <w:r>
        <w:t xml:space="preserve"> </w:t>
      </w:r>
      <m:oMath>
        <m:r>
          <m:t>C</m:t>
        </m:r>
        <m:r>
          <m:t>C</m:t>
        </m:r>
        <m:sSub>
          <m:e>
            <m:r>
              <m:t>E</m:t>
            </m:r>
          </m:e>
          <m:sub>
            <m:r>
              <m:t>l</m:t>
            </m:r>
          </m:sub>
        </m:sSub>
      </m:oMath>
      <w:r>
        <w:t xml:space="preserve"> </w:t>
      </w:r>
      <w:r>
        <w:t xml:space="preserve">is the mean of</w:t>
      </w:r>
      <w:r>
        <w:t xml:space="preserve"> </w:t>
      </w:r>
      <m:oMath>
        <m:r>
          <m:t>B</m:t>
        </m:r>
        <m:sSub>
          <m:e>
            <m:r>
              <m:t>C</m:t>
            </m:r>
          </m:e>
          <m:sub>
            <m:r>
              <m:t>t</m:t>
            </m:r>
            <m:r>
              <m:rPr>
                <m:sty m:val="p"/>
              </m:rPr>
              <m:t>,</m:t>
            </m:r>
            <m:r>
              <m:t>l</m:t>
            </m:r>
          </m:sub>
        </m:sSub>
      </m:oMath>
      <w:r>
        <w:t xml:space="preserve"> </w:t>
      </w:r>
      <w:r>
        <w:t xml:space="preserve">over the years at reef</w:t>
      </w:r>
      <w:r>
        <w:t xml:space="preserve"> </w:t>
      </w:r>
      <m:oMath>
        <m:r>
          <m:t>l</m:t>
        </m:r>
      </m:oMath>
      <w:r>
        <w:t xml:space="preserve"> </w:t>
      </w:r>
      <w:r>
        <w:t xml:space="preserve">where all functional groups’ composition was observed, and</w:t>
      </w:r>
      <w:r>
        <w:t xml:space="preserve"> </w:t>
      </w:r>
      <m:oMath>
        <m:sSup>
          <m:e>
            <m:r>
              <m:t>L</m:t>
            </m:r>
          </m:e>
          <m:sup>
            <m:r>
              <m:rPr>
                <m:nor/>
                <m:sty m:val="b"/>
              </m:rPr>
              <m:t>comp</m:t>
            </m:r>
          </m:sup>
        </m:sSup>
      </m:oMath>
      <w:r>
        <w:t xml:space="preserve"> </w:t>
      </w:r>
      <w:r>
        <w:t xml:space="preserve">is the set of reefs with composition data. Reefs with no year of fully observed composition data are assigned a neutral</w:t>
      </w:r>
      <w:r>
        <w:t xml:space="preserve"> </w:t>
      </w:r>
      <m:oMath>
        <m:r>
          <m:t>C</m:t>
        </m:r>
        <m:r>
          <m:t>C</m:t>
        </m:r>
        <m:sSub>
          <m:e>
            <m:r>
              <m:t>E</m:t>
            </m:r>
          </m:e>
          <m:sub>
            <m:r>
              <m:t>l</m:t>
            </m:r>
          </m:sub>
        </m:sSub>
      </m:oMath>
      <w:r>
        <w:t xml:space="preserve"> </w:t>
      </w:r>
      <w:r>
        <w:t xml:space="preserve">of 0.5 rather than being excluded from the mean.</w:t>
      </w:r>
    </w:p>
    <w:p>
      <w:pPr>
        <w:pStyle w:val="BodyText"/>
      </w:pPr>
      <w:r>
        <w:t xml:space="preserve">Finally, emphasis is placed on minimizing error at the peak and trough of each reef’s observed coral cover trajectory. For each reef</w:t>
      </w:r>
      <w:r>
        <w:t xml:space="preserve"> </w:t>
      </w:r>
      <m:oMath>
        <m:r>
          <m:t>l</m:t>
        </m:r>
      </m:oMath>
      <w:r>
        <w:t xml:space="preserve">, let</w:t>
      </w:r>
      <w:r>
        <w:t xml:space="preserve"> </w:t>
      </w:r>
      <m:oMath>
        <m:sSubSup>
          <m:e>
            <m:r>
              <m:t>t</m:t>
            </m:r>
          </m:e>
          <m:sub>
            <m:r>
              <m:t>l</m:t>
            </m:r>
          </m:sub>
          <m:sup>
            <m:r>
              <m:rPr>
                <m:nor/>
                <m:sty m:val="b"/>
              </m:rPr>
              <m:t>peak</m:t>
            </m:r>
          </m:sup>
        </m:sSubSup>
      </m:oMath>
      <w:r>
        <w:t xml:space="preserve"> </w:t>
      </w:r>
      <w:r>
        <w:t xml:space="preserve">and</w:t>
      </w:r>
      <w:r>
        <w:t xml:space="preserve"> </w:t>
      </w:r>
      <m:oMath>
        <m:sSubSup>
          <m:e>
            <m:r>
              <m:t>t</m:t>
            </m:r>
          </m:e>
          <m:sub>
            <m:r>
              <m:t>l</m:t>
            </m:r>
          </m:sub>
          <m:sup>
            <m:r>
              <m:rPr>
                <m:nor/>
                <m:sty m:val="b"/>
              </m:rPr>
              <m:t>trough</m:t>
            </m:r>
          </m:sup>
        </m:sSubSup>
      </m:oMath>
      <w:r>
        <w:t xml:space="preserve"> </w:t>
      </w:r>
      <w:r>
        <w:t xml:space="preserve">be the years of that reef’s highest and lowest observed coral cover, respectively; the error at these points is calculated using mean absolute error across all reefs</w:t>
      </w:r>
      <w:r>
        <w:t xml:space="preserve"> </w:t>
      </w:r>
      <m:oMath>
        <m:r>
          <m:t>L</m:t>
        </m:r>
      </m:oMath>
      <w:r>
        <w:t xml:space="preserve"> </w:t>
      </w:r>
      <w:r>
        <w:t xml:space="preserve">with at least one observation:</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c</m:t>
                    </m:r>
                  </m:sub>
                </m:sSub>
                <m:r>
                  <m:rPr>
                    <m:sty m:val="p"/>
                  </m:rPr>
                  <m:t>=</m:t>
                </m:r>
                <m:f>
                  <m:fPr>
                    <m:type m:val="bar"/>
                  </m:fPr>
                  <m:num>
                    <m:r>
                      <m:t>1</m:t>
                    </m:r>
                  </m:num>
                  <m:den>
                    <m:d>
                      <m:dPr>
                        <m:begChr m:val="|"/>
                        <m:sepChr m:val=""/>
                        <m:endChr m:val="|"/>
                        <m:grow/>
                      </m:dPr>
                      <m:e>
                        <m:r>
                          <m:t>L</m:t>
                        </m:r>
                      </m:e>
                    </m:d>
                  </m:den>
                </m:f>
                <m:nary>
                  <m:naryPr>
                    <m:chr m:val="∑"/>
                    <m:limLoc m:val="undOvr"/>
                    <m:subHide m:val="off"/>
                    <m:supHide m:val="on"/>
                  </m:naryPr>
                  <m:sub>
                    <m:r>
                      <m:t>l</m:t>
                    </m:r>
                    <m:r>
                      <m:rPr>
                        <m:sty m:val="p"/>
                      </m:rPr>
                      <m:t>∈</m:t>
                    </m:r>
                    <m:r>
                      <m:t>L</m:t>
                    </m:r>
                  </m:sub>
                  <m:sup>
                    <m:r>
                      <m:t>​</m:t>
                    </m:r>
                  </m:sup>
                  <m:e>
                    <m:d>
                      <m:dPr>
                        <m:begChr m:val="|"/>
                        <m:sepChr m:val=""/>
                        <m:endChr m:val="|"/>
                        <m:grow/>
                      </m:dPr>
                      <m:e>
                        <m:sSub>
                          <m:e>
                            <m:acc>
                              <m:accPr>
                                <m:chr m:val="̂"/>
                              </m:accPr>
                              <m:e>
                                <m:r>
                                  <m:t>y</m:t>
                                </m:r>
                              </m:e>
                            </m:acc>
                          </m:e>
                          <m:sub>
                            <m:sSubSup>
                              <m:e>
                                <m:r>
                                  <m:t>t</m:t>
                                </m:r>
                              </m:e>
                              <m:sub>
                                <m:r>
                                  <m:t>l</m:t>
                                </m:r>
                              </m:sub>
                              <m:sup>
                                <m:r>
                                  <m:t>c</m:t>
                                </m:r>
                              </m:sup>
                            </m:sSubSup>
                            <m:r>
                              <m:rPr>
                                <m:sty m:val="p"/>
                              </m:rPr>
                              <m:t>,</m:t>
                            </m:r>
                            <m:r>
                              <m:t>l</m:t>
                            </m:r>
                          </m:sub>
                        </m:sSub>
                        <m:r>
                          <m:rPr>
                            <m:sty m:val="p"/>
                          </m:rPr>
                          <m:t>−</m:t>
                        </m:r>
                        <m:sSub>
                          <m:e>
                            <m:r>
                              <m:t>y</m:t>
                            </m:r>
                          </m:e>
                          <m:sub>
                            <m:sSubSup>
                              <m:e>
                                <m:r>
                                  <m:t>t</m:t>
                                </m:r>
                              </m:e>
                              <m:sub>
                                <m:r>
                                  <m:t>l</m:t>
                                </m:r>
                              </m:sub>
                              <m:sup>
                                <m:r>
                                  <m:t>c</m:t>
                                </m:r>
                              </m:sup>
                            </m:sSubSup>
                            <m:r>
                              <m:rPr>
                                <m:sty m:val="p"/>
                              </m:rPr>
                              <m:t>,</m:t>
                            </m:r>
                            <m:r>
                              <m:t>l</m:t>
                            </m:r>
                          </m:sub>
                        </m:sSub>
                      </m:e>
                    </m:d>
                  </m:e>
                </m:nary>
                <m:r>
                  <m:rPr>
                    <m:sty m:val="p"/>
                  </m:rPr>
                  <m:t>,</m:t>
                </m:r>
                <m:r>
                  <m:t> </m:t>
                </m:r>
                <m:r>
                  <m:t> </m:t>
                </m:r>
                <m:r>
                  <m:t>c</m:t>
                </m:r>
                <m:r>
                  <m:rPr>
                    <m:sty m:val="p"/>
                  </m:rPr>
                  <m:t>∈</m:t>
                </m:r>
                <m:d>
                  <m:dPr>
                    <m:begChr m:val="{"/>
                    <m:sepChr m:val=""/>
                    <m:endChr m:val="}"/>
                    <m:grow/>
                  </m:dPr>
                  <m:e>
                    <m:r>
                      <m:t>p</m:t>
                    </m:r>
                    <m:r>
                      <m:t>e</m:t>
                    </m:r>
                    <m:r>
                      <m:t>a</m:t>
                    </m:r>
                    <m:r>
                      <m:t>k</m:t>
                    </m:r>
                    <m:r>
                      <m:rPr>
                        <m:sty m:val="p"/>
                      </m:rPr>
                      <m:t>,</m:t>
                    </m:r>
                    <m:r>
                      <m:t> </m:t>
                    </m:r>
                    <m:r>
                      <m:t>t</m:t>
                    </m:r>
                    <m:r>
                      <m:t>r</m:t>
                    </m:r>
                    <m:r>
                      <m:t>o</m:t>
                    </m:r>
                    <m:r>
                      <m:t>u</m:t>
                    </m:r>
                    <m:r>
                      <m:t>g</m:t>
                    </m:r>
                    <m:r>
                      <m:t>h</m:t>
                    </m:r>
                  </m:e>
                </m:d>
              </m:oMath>
            </m:oMathPara>
          </w:p>
        </w:tc>
        <w:tc>
          <w:tcPr/>
          <w:p>
            <w:pPr>
              <w:pStyle w:val="Compact"/>
            </w:pPr>
            <w:r>
              <w:t xml:space="preserve">(24S)</w:t>
            </w:r>
          </w:p>
        </w:tc>
      </w:tr>
    </w:tbl>
    <w:p>
      <w:pPr>
        <w:pStyle w:val="BodyText"/>
      </w:pPr>
      <w:r>
        <w:t xml:space="preserve">The objective function is then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r>
                  <m:t>0.5</m:t>
                </m:r>
                <m:r>
                  <m:rPr>
                    <m:sty m:val="p"/>
                  </m:rPr>
                  <m:t>⋅</m:t>
                </m:r>
                <m:r>
                  <m:t>E</m:t>
                </m:r>
                <m:r>
                  <m:t>r</m:t>
                </m:r>
                <m:sSub>
                  <m:e>
                    <m:r>
                      <m:t>r</m:t>
                    </m:r>
                  </m:e>
                  <m:sub>
                    <m:r>
                      <m:rPr>
                        <m:nor/>
                        <m:sty m:val="b"/>
                      </m:rPr>
                      <m:t>peak</m:t>
                    </m:r>
                  </m:sub>
                </m:sSub>
                <m:r>
                  <m:rPr>
                    <m:sty m:val="p"/>
                  </m:rPr>
                  <m:t>+</m:t>
                </m:r>
                <m:r>
                  <m:t>0.5</m:t>
                </m:r>
                <m:r>
                  <m:rPr>
                    <m:sty m:val="p"/>
                  </m:rPr>
                  <m:t>⋅</m:t>
                </m:r>
                <m:r>
                  <m:t>E</m:t>
                </m:r>
                <m:r>
                  <m:t>r</m:t>
                </m:r>
                <m:sSub>
                  <m:e>
                    <m:r>
                      <m:t>r</m:t>
                    </m:r>
                  </m:e>
                  <m:sub>
                    <m:r>
                      <m:rPr>
                        <m:nor/>
                        <m:sty m:val="b"/>
                      </m:rPr>
                      <m:t>trough</m:t>
                    </m:r>
                  </m:sub>
                </m:sSub>
                <m:r>
                  <m:rPr>
                    <m:sty m:val="p"/>
                  </m:rPr>
                  <m:t>+</m:t>
                </m:r>
                <m:r>
                  <m:t>2.0</m:t>
                </m:r>
                <m:r>
                  <m:rPr>
                    <m:sty m:val="p"/>
                  </m:rPr>
                  <m:t>⋅</m:t>
                </m:r>
                <m:r>
                  <m:t>C</m:t>
                </m:r>
                <m:r>
                  <m:t>C</m:t>
                </m:r>
                <m:r>
                  <m:t>E</m:t>
                </m:r>
              </m:oMath>
            </m:oMathPara>
          </w:p>
        </w:tc>
        <w:tc>
          <w:tcPr/>
          <w:p>
            <w:pPr>
              <w:pStyle w:val="Compact"/>
            </w:pPr>
            <w:r>
              <w:t xml:space="preserve">(25S)</w:t>
            </w:r>
          </w:p>
        </w:tc>
      </w:tr>
    </w:tbl>
    <w:p>
      <w:pPr>
        <w:pStyle w:val="BodyText"/>
      </w:pPr>
      <w:r>
        <w:t xml:space="preserve">Candidate parameter sets that violate parameter-bound constraints or produce an invalid model run (e.g. a negative recruitment scale factor) are assigned a large fixed penalty instead of being scored by the equations above.</w:t>
      </w:r>
    </w:p>
    <w:bookmarkEnd w:id="225"/>
    <w:bookmarkStart w:id="229" w:name="disturbances-datasets"/>
    <w:p>
      <w:pPr>
        <w:pStyle w:val="Heading3"/>
      </w:pPr>
      <w:r>
        <w:t xml:space="preserve">7.5.3 Disturbances datasets</w:t>
      </w:r>
    </w:p>
    <w:p>
      <w:pPr>
        <w:pStyle w:val="FirstParagraph"/>
      </w:pPr>
      <w:r>
        <w:t xml:space="preserve">To account for heat stress mortality, we used a historical DHW dataset, derived from observed maximum Degree Heating Weeks (DHWs) data provided by NOAA’s CoralTempv3.1 product</w:t>
      </w:r>
      <w:r>
        <w:t xml:space="preserve"> </w:t>
      </w:r>
      <w:r>
        <w:t xml:space="preserve">(78, 79)</w:t>
      </w:r>
      <w:r>
        <w:t xml:space="preserve"> </w:t>
      </w:r>
      <w:r>
        <w:t xml:space="preserve">for each year and reef (Figure S2). To account for cyclone/storm and COTS mortality, we derived a separate mortality dataset from LTMP disturbance records (year and type of disturbance) with coral cover and benthic composition data. Because coral cover grows naturally between surveys, survival was calculated against a counterfactual undisturbed growth projection of the pre-disturbance cover. This background growth rate was estimated once from each reef’s total cover, then split into per functional group mortality rates using benthic composition data. Locations with disturbances flagged as</w:t>
      </w:r>
      <w:r>
        <w:t xml:space="preserve"> </w:t>
      </w:r>
      <w:r>
        <w:t xml:space="preserve">“unknown”</w:t>
      </w:r>
      <w:r>
        <w:t xml:space="preserve"> </w:t>
      </w:r>
      <w:r>
        <w:t xml:space="preserve">were not included in this mortality-rate calculation.</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7" name="Picture"/>
            <a:graphic>
              <a:graphicData uri="http://schemas.openxmlformats.org/drawingml/2006/picture">
                <pic:pic>
                  <pic:nvPicPr>
                    <pic:cNvPr descr="../figures/S02_dhw_per_reef_group.png" id="228" name="Picture"/>
                    <pic:cNvPicPr>
                      <a:picLocks noChangeArrowheads="1" noChangeAspect="1"/>
                    </pic:cNvPicPr>
                  </pic:nvPicPr>
                  <pic:blipFill>
                    <a:blip r:embed="rId226"/>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9"/>
    <w:bookmarkStart w:id="233" w:name="depth-attenuation-of-dhw"/>
    <w:p>
      <w:pPr>
        <w:pStyle w:val="Heading3"/>
      </w:pPr>
      <w:r>
        <w:t xml:space="preserve">7.5.4 Depth attenuation of DHW</w:t>
      </w:r>
    </w:p>
    <w:p>
      <w:pPr>
        <w:pStyle w:val="FirstParagraph"/>
      </w:pPr>
      <w:r>
        <w:t xml:space="preserve">The calibrated</w:t>
      </w:r>
      <w:r>
        <w:t xml:space="preserve"> </w:t>
      </w:r>
      <m:oMath>
        <m:sSup>
          <m:e>
            <m:r>
              <m:t>η</m:t>
            </m:r>
          </m:e>
          <m:sup>
            <m:r>
              <m:rPr>
                <m:nor/>
                <m:sty m:val="b"/>
              </m:rPr>
              <m:t>base</m:t>
            </m:r>
          </m:sup>
        </m:sSup>
      </m:oMath>
      <w:r>
        <w:t xml:space="preserve"> </w:t>
      </w:r>
      <w:r>
        <w:t xml:space="preserve">and</w:t>
      </w:r>
      <w:r>
        <w:t xml:space="preserve"> </w:t>
      </w:r>
      <m:oMath>
        <m:sSup>
          <m:e>
            <m:r>
              <m:t>η</m:t>
            </m:r>
          </m:e>
          <m:sup>
            <m:r>
              <m:rPr>
                <m:nor/>
                <m:sty m:val="b"/>
              </m:rPr>
              <m:t>mix</m:t>
            </m:r>
          </m:sup>
        </m:sSup>
      </m:oMath>
      <w:r>
        <w:t xml:space="preserve"> </w:t>
      </w:r>
      <w:r>
        <w:t xml:space="preserve">values determine how the effective DHW at depth (Eq.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textbf{base}} and \eta^{\textbf{mix}} values. The dotted line shows the 1:1 reference (no attenuation, i.e. surface conditions)." title="" id="231" name="Picture"/>
            <a:graphic>
              <a:graphicData uri="http://schemas.openxmlformats.org/drawingml/2006/picture">
                <pic:pic>
                  <pic:nvPicPr>
                    <pic:cNvPr descr="../figures/S03_effective_dhw_depth_attenuation.png" id="232" name="Picture"/>
                    <pic:cNvPicPr>
                      <a:picLocks noChangeArrowheads="1" noChangeAspect="1"/>
                    </pic:cNvPicPr>
                  </pic:nvPicPr>
                  <pic:blipFill>
                    <a:blip r:embed="rId230"/>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rPr>
                <m:nor/>
                <m:sty m:val="b"/>
              </m:rPr>
              <m:t>base</m:t>
            </m:r>
          </m:sup>
        </m:sSup>
      </m:oMath>
      <w:r>
        <w:rPr>
          <w:b/>
          <w:bCs/>
        </w:rPr>
        <w:t xml:space="preserve"> </w:t>
      </w:r>
      <w:r>
        <w:rPr>
          <w:b/>
          <w:bCs/>
        </w:rPr>
        <w:t xml:space="preserve">and</w:t>
      </w:r>
      <w:r>
        <w:rPr>
          <w:b/>
          <w:bCs/>
        </w:rPr>
        <w:t xml:space="preserve"> </w:t>
      </w:r>
      <m:oMath>
        <m:sSup>
          <m:e>
            <m:r>
              <m:t>η</m:t>
            </m:r>
          </m:e>
          <m:sup>
            <m:r>
              <m:rPr>
                <m:nor/>
                <m:sty m:val="b"/>
              </m:rPr>
              <m:t>mix</m:t>
            </m:r>
          </m:sup>
        </m:sSup>
      </m:oMath>
      <w:r>
        <w:rPr>
          <w:b/>
          <w:bCs/>
        </w:rPr>
        <w:t xml:space="preserve"> </w:t>
      </w:r>
      <w:r>
        <w:rPr>
          <w:b/>
          <w:bCs/>
        </w:rPr>
        <w:t xml:space="preserve">values.</w:t>
      </w:r>
      <w:r>
        <w:t xml:space="preserve"> </w:t>
      </w:r>
      <w:r>
        <w:t xml:space="preserve">The dotted line shows the 1:1 reference (no attenuation, i.e. surface conditions).</w:t>
      </w:r>
    </w:p>
    <w:bookmarkEnd w:id="233"/>
    <w:bookmarkEnd w:id="234"/>
    <w:bookmarkStart w:id="238"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6" name="Picture"/>
            <a:graphic>
              <a:graphicData uri="http://schemas.openxmlformats.org/drawingml/2006/picture">
                <pic:pic>
                  <pic:nvPicPr>
                    <pic:cNvPr descr="../figures/S04_convergence_analysis.png" id="237" name="Picture"/>
                    <pic:cNvPicPr>
                      <a:picLocks noChangeArrowheads="1" noChangeAspect="1"/>
                    </pic:cNvPicPr>
                  </pic:nvPicPr>
                  <pic:blipFill>
                    <a:blip r:embed="rId235"/>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219 factors included in the sensitivity analysis and their respective sampling bounds.</w:t>
      </w:r>
    </w:p>
    <w:tbl>
      <w:tblPr>
        <w:tblStyle w:val="Table"/>
        <w:tblW w:type="pct" w:w="5000"/>
        <w:tblLayout w:type="fixed"/>
        <w:tblLook w:firstRow="1" w:lastRow="0" w:firstColumn="0" w:lastColumn="0" w:noHBand="0" w:noVBand="0" w:val="0020"/>
        <w:tblCaption w:val="Table S11. 219 factors included in the sensitivity analysis and their respective sampling bounds."/>
      </w:tblPr>
      <w:tblGrid>
        <w:gridCol w:w="2640"/>
        <w:gridCol w:w="2640"/>
        <w:gridCol w:w="2640"/>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calibrated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calibrated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calibrated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calibrated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calibrated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calibrated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calibrated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w:r>
              <w:t xml:space="preserve"> </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calibrated values</w:t>
            </w:r>
          </w:p>
        </w:tc>
      </w:tr>
      <w:tr>
        <w:tc>
          <w:tcPr/>
          <w:p>
            <w:pPr>
              <w:pStyle w:val="Compact"/>
              <w:jc w:val="left"/>
            </w:pPr>
            <w:r>
              <w:t xml:space="preserve">DHW depth attenuation (</w:t>
            </w:r>
            <m:oMath>
              <m:sSup>
                <m:e>
                  <m:r>
                    <m:rPr>
                      <m:sty m:val="b"/>
                    </m:rPr>
                    <m:t>η</m:t>
                  </m:r>
                </m:e>
                <m:sup>
                  <m:r>
                    <m:rPr>
                      <m:sty m:val="b"/>
                    </m:rPr>
                    <m:t>b</m:t>
                  </m:r>
                  <m:r>
                    <m:rPr>
                      <m:sty m:val="b"/>
                    </m:rPr>
                    <m:t>a</m:t>
                  </m:r>
                  <m:r>
                    <m:rPr>
                      <m:sty m:val="b"/>
                    </m:rPr>
                    <m:t>s</m:t>
                  </m:r>
                  <m:r>
                    <m:rPr>
                      <m:sty m:val="b"/>
                    </m:rPr>
                    <m:t>e</m:t>
                  </m:r>
                </m:sup>
              </m:sSup>
            </m:oMath>
            <w:r>
              <w:t xml:space="preserve">,</w:t>
            </w:r>
            <w:r>
              <w:t xml:space="preserve"> </w:t>
            </w:r>
            <m:oMath>
              <m:sSup>
                <m:e>
                  <m:r>
                    <m:rPr>
                      <m:sty m:val="b"/>
                    </m:rPr>
                    <m:t>η</m:t>
                  </m:r>
                </m:e>
                <m:sup>
                  <m:r>
                    <m:rPr>
                      <m:sty m:val="b"/>
                    </m:rPr>
                    <m:t>m</m:t>
                  </m:r>
                  <m:r>
                    <m:rPr>
                      <m:sty m:val="b"/>
                    </m:rPr>
                    <m:t>i</m:t>
                  </m:r>
                  <m:r>
                    <m:rPr>
                      <m:sty m:val="b"/>
                    </m:rPr>
                    <m:t>x</m:t>
                  </m:r>
                </m:sup>
              </m:sSup>
            </m:oMath>
            <w:r>
              <w:t xml:space="preserve">)</w:t>
            </w:r>
          </w:p>
        </w:tc>
        <w:tc>
          <w:tcPr/>
          <w:p>
            <w:pPr>
              <w:pStyle w:val="Compact"/>
              <w:jc w:val="left"/>
            </w:pPr>
            <w:r>
              <w:t xml:space="preserve">2 (base coefficient and mixing scale)</w:t>
            </w:r>
          </w:p>
        </w:tc>
        <w:tc>
          <w:tcPr/>
          <w:p>
            <w:pPr>
              <w:pStyle w:val="Compact"/>
              <w:jc w:val="left"/>
            </w:pPr>
            <w:r>
              <w:t xml:space="preserve">+/- 20% of calibrated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(0, 26.4)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 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(0.05, 0.56)</w:t>
            </w:r>
          </w:p>
        </w:tc>
      </w:tr>
    </w:tbl>
    <w:p>
      <w:pPr>
        <w:pStyle w:val="BodyText"/>
      </w:pPr>
      <w:r>
        <w:t xml:space="preserve">* - The last size class is assumed to have linear extension = 0.</w:t>
      </w:r>
    </w:p>
    <w:p>
      <w:pPr>
        <w:pStyle w:val="BodyText"/>
      </w:pPr>
      <w:r>
        <w:t xml:space="preserve">** - This range spans the union of the five DHW-range scenarios; within any single scenario DHW is fixed or sampled over a narrower sub-range - see Figure 6 and the</w:t>
      </w:r>
      <w:r>
        <w:t xml:space="preserve"> </w:t>
      </w:r>
      <w:r>
        <w:t xml:space="preserve">“Coral survival under high DHW varies with depth”</w:t>
      </w:r>
      <w:r>
        <w:t xml:space="preserve"> </w:t>
      </w:r>
      <w:r>
        <w:t xml:space="preserve">section.</w:t>
      </w:r>
    </w:p>
    <w:bookmarkEnd w:id="238"/>
    <w:bookmarkStart w:id="251" w:name="per-reef-performance-metrics"/>
    <w:p>
      <w:pPr>
        <w:pStyle w:val="Heading2"/>
      </w:pPr>
      <w:r>
        <w:t xml:space="preserve">7.7 Per-reef performance metrics</w:t>
      </w:r>
    </w:p>
    <w:p>
      <w:pPr>
        <w:pStyle w:val="FirstParagraph"/>
      </w:pPr>
      <w:r>
        <w:t xml:space="preserve">Figures S5-S8 show the full per-reef distributions underlying the aggregate values reported in Table S1: bootstrapped ΔRMSE and SRCC, each with its own 95% confidence interval, for every calibration and test reef, sorted by value. Values and confidence intervals for reefs with 5 or more observed years were computed using a block bootstrap, and for reefs with 4 observed years using an iid bootstrap. We also show the aggregate bootstrapped median with its own 95% confidence interval.</w:t>
      </w:r>
    </w:p>
    <w:p>
      <w:pPr>
        <w:pStyle w:val="CaptionedFigure"/>
      </w:pPr>
      <w:r>
        <w:drawing>
          <wp:inline>
            <wp:extent cx="5731510" cy="4298632"/>
            <wp:effectExtent b="0" l="0" r="0" t="0"/>
            <wp:docPr descr="Figure S5. Bootstrapped ΔRMSE (benchmark − model RMSE) for each calibration reef." title="" id="240" name="Picture"/>
            <a:graphic>
              <a:graphicData uri="http://schemas.openxmlformats.org/drawingml/2006/picture">
                <pic:pic>
                  <pic:nvPicPr>
                    <pic:cNvPr descr="../figures/S05_rmse_diff_calibration.png" id="241" name="Picture"/>
                    <pic:cNvPicPr>
                      <a:picLocks noChangeArrowheads="1" noChangeAspect="1"/>
                    </pic:cNvPicPr>
                  </pic:nvPicPr>
                  <pic:blipFill>
                    <a:blip r:embed="rId239"/>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S5. Bootstrapped ΔRMSE (benchmark − model RMSE) for each calibration reef.</w:t>
      </w:r>
    </w:p>
    <w:p>
      <w:pPr>
        <w:pStyle w:val="CaptionedFigure"/>
      </w:pPr>
      <w:r>
        <w:drawing>
          <wp:inline>
            <wp:extent cx="5731510" cy="4298632"/>
            <wp:effectExtent b="0" l="0" r="0" t="0"/>
            <wp:docPr descr="Figure S6. Bootstrapped ΔRMSE (benchmark − model RMSE) for each test reef." title="" id="243" name="Picture"/>
            <a:graphic>
              <a:graphicData uri="http://schemas.openxmlformats.org/drawingml/2006/picture">
                <pic:pic>
                  <pic:nvPicPr>
                    <pic:cNvPr descr="../figures/S06_rmse_diff_test.png" id="244" name="Picture"/>
                    <pic:cNvPicPr>
                      <a:picLocks noChangeArrowheads="1" noChangeAspect="1"/>
                    </pic:cNvPicPr>
                  </pic:nvPicPr>
                  <pic:blipFill>
                    <a:blip r:embed="rId242"/>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S6. Bootstrapped ΔRMSE (benchmark − model RMSE) for each test reef.</w:t>
      </w:r>
    </w:p>
    <w:p>
      <w:pPr>
        <w:pStyle w:val="CaptionedFigure"/>
      </w:pPr>
      <w:r>
        <w:drawing>
          <wp:inline>
            <wp:extent cx="5731510" cy="4298632"/>
            <wp:effectExtent b="0" l="0" r="0" t="0"/>
            <wp:docPr descr="Figure S7. Bootstrapped SRCC for each calibration reef." title="" id="246" name="Picture"/>
            <a:graphic>
              <a:graphicData uri="http://schemas.openxmlformats.org/drawingml/2006/picture">
                <pic:pic>
                  <pic:nvPicPr>
                    <pic:cNvPr descr="../figures/S07_srcc_calibration.png" id="247" name="Picture"/>
                    <pic:cNvPicPr>
                      <a:picLocks noChangeArrowheads="1" noChangeAspect="1"/>
                    </pic:cNvPicPr>
                  </pic:nvPicPr>
                  <pic:blipFill>
                    <a:blip r:embed="rId245"/>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S7. Bootstrapped SRCC for each calibration reef.</w:t>
      </w:r>
    </w:p>
    <w:p>
      <w:pPr>
        <w:pStyle w:val="CaptionedFigure"/>
      </w:pPr>
      <w:r>
        <w:drawing>
          <wp:inline>
            <wp:extent cx="5731510" cy="4298632"/>
            <wp:effectExtent b="0" l="0" r="0" t="0"/>
            <wp:docPr descr="Figure S8. Bootstrapped SRCC for each test reef." title="" id="249" name="Picture"/>
            <a:graphic>
              <a:graphicData uri="http://schemas.openxmlformats.org/drawingml/2006/picture">
                <pic:pic>
                  <pic:nvPicPr>
                    <pic:cNvPr descr="../figures/S08_srcc_test.png" id="250" name="Picture"/>
                    <pic:cNvPicPr>
                      <a:picLocks noChangeArrowheads="1" noChangeAspect="1"/>
                    </pic:cNvPicPr>
                  </pic:nvPicPr>
                  <pic:blipFill>
                    <a:blip r:embed="rId24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S8. Bootstrapped SRCC for each test reef.</w:t>
      </w:r>
    </w:p>
    <w:bookmarkEnd w:id="251"/>
    <w:bookmarkEnd w:id="252"/>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226" Target="media/rId226.png" /><Relationship Type="http://schemas.openxmlformats.org/officeDocument/2006/relationships/image" Id="rId230" Target="media/rId230.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11" Target="media/rId11.png" /><Relationship Type="http://schemas.openxmlformats.org/officeDocument/2006/relationships/image" Id="rId221" Target="media/rId221.png" /><Relationship Type="http://schemas.openxmlformats.org/officeDocument/2006/relationships/hyperlink" Id="rId187"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8"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6"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8"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91"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4"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89" Target="https://github.com/robertfeldt/BlackBoxOptim.jl" TargetMode="External" /><Relationship Type="http://schemas.openxmlformats.org/officeDocument/2006/relationships/hyperlink" Id="rId207" Target="https://github.com/ymbozec/REEFMOD.7.2_GBR"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87"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8"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6"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8"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91"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4"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89" Target="https://github.com/robertfeldt/BlackBoxOptim.jl" TargetMode="External" /><Relationship Type="http://schemas.openxmlformats.org/officeDocument/2006/relationships/hyperlink" Id="rId207" Target="https://github.com/ymbozec/REEFMOD.7.2_GBR"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2026-08-26T08:14:19Z</dcterms:created>
  <dcterms:modified xsi:type="dcterms:W3CDTF">2026-08-26T08:14:19Z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