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4.png" ContentType="image/png"/>
  <Override PartName="/word/media/rId228.png" ContentType="image/png"/>
  <Override PartName="/word/media/rId11.png" ContentType="image/png"/>
  <Override PartName="/word/media/rId28.png" ContentType="image/png"/>
  <Override PartName="/word/media/rId219.png" ContentType="image/png"/>
  <Override PartName="/word/media/rId2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w:t>
      </w:r>
    </w:p>
    <w:p>
      <w:pPr>
        <w:pStyle w:val="BodyText"/>
      </w:pPr>
      <w:r>
        <w:t xml:space="preserve">Table S1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4010025" cy="4778794"/>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 \mathbf{\Delta RMSE}, 0.02 [0.0, 0.03], for test reefs \mathbf{\Delta RMSE}, 0.01 [-0.0, 0.05], for calibration reefs \mathbf{SRCC}, 0.77 [0.67, 0.82], and for test reefs SRCC, 0.78 [0.6,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4010025" cy="4778794"/>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 0.03], for test reefs</w:t>
      </w:r>
      <w:r>
        <w:t xml:space="preserve"> </w:t>
      </w:r>
      <m:oMath>
        <m:r>
          <m:rPr>
            <m:sty m:val="b"/>
          </m:rPr>
          <m:t>Δ</m:t>
        </m:r>
        <m:r>
          <m:rPr>
            <m:sty m:val="b"/>
          </m:rPr>
          <m:t>R</m:t>
        </m:r>
        <m:r>
          <m:rPr>
            <m:sty m:val="b"/>
          </m:rPr>
          <m:t>M</m:t>
        </m:r>
        <m:r>
          <m:rPr>
            <m:sty m:val="b"/>
          </m:rPr>
          <m:t>S</m:t>
        </m:r>
        <m:r>
          <m:rPr>
            <m:sty m:val="b"/>
          </m:rPr>
          <m:t>E</m:t>
        </m:r>
      </m:oMath>
      <w:r>
        <w:t xml:space="preserve">, 0.01 [-0.0, 0.05], for calibration reefs</w:t>
      </w:r>
      <w:r>
        <w:t xml:space="preserve"> </w:t>
      </w:r>
      <m:oMath>
        <m:r>
          <m:rPr>
            <m:sty m:val="b"/>
          </m:rPr>
          <m:t>S</m:t>
        </m:r>
        <m:r>
          <m:rPr>
            <m:sty m:val="b"/>
          </m:rPr>
          <m:t>R</m:t>
        </m:r>
        <m:r>
          <m:rPr>
            <m:sty m:val="b"/>
          </m:rPr>
          <m:t>C</m:t>
        </m:r>
        <m:r>
          <m:rPr>
            <m:sty m:val="b"/>
          </m:rPr>
          <m:t>C</m:t>
        </m:r>
      </m:oMath>
      <w:r>
        <w:t xml:space="preserve">, 0.77 [0.67, 0.82], and for test reefs SRCC, 0.78 [0.6, 0.89].</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confidence intervals.</w:t>
      </w:r>
    </w:p>
    <w:p>
      <w:pPr>
        <w:pStyle w:val="BodyText"/>
      </w:pPr>
      <w:r>
        <w:t xml:space="preserve">A comparison between modeled and observed relative coral cover for four selected test reefs is presented in Figure 5. The selected reefs (two with the lowest and two the highest RMSE values)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Centipede Reef (18-088): Model RMSE = 0.17, Benchmark RMSE = 0.04, SRCC = 0.80; (B) Rebe Reef (19-209): Model RMSE = 0.19, Benchmark RMSE = 0.23, SRCC = 0.82; (C) Martin Reef (14-123): Model RMSE = 0.05, Benchmark RMSE = 0.09, SRCC = 0.9; (D) Pompey Reef (No 2) (20-351b): 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Centipede Reef (18-088):</w:t>
      </w:r>
      <w:r>
        <w:t xml:space="preserve"> </w:t>
      </w:r>
      <w:r>
        <w:t xml:space="preserve">Model RMSE = 0.17, Benchmark RMSE = 0.04, SRCC = 0.80; (</w:t>
      </w:r>
      <w:r>
        <w:rPr>
          <w:b/>
          <w:bCs/>
        </w:rPr>
        <w:t xml:space="preserve">B</w:t>
      </w:r>
      <w:r>
        <w:t xml:space="preserve">)</w:t>
      </w:r>
      <w:r>
        <w:t xml:space="preserve"> </w:t>
      </w:r>
      <w:r>
        <w:rPr>
          <w:b/>
          <w:bCs/>
        </w:rPr>
        <w:t xml:space="preserve">Rebe Reef (19-209):</w:t>
      </w:r>
      <w:r>
        <w:t xml:space="preserve"> </w:t>
      </w:r>
      <w:r>
        <w:t xml:space="preserve">Model RMSE = 0.19, Benchmark RMSE = 0.23, SRCC = 0.82; (</w:t>
      </w:r>
      <w:r>
        <w:rPr>
          <w:b/>
          <w:bCs/>
        </w:rPr>
        <w:t xml:space="preserve">C</w:t>
      </w:r>
      <w:r>
        <w:t xml:space="preserve">)</w:t>
      </w:r>
      <w:r>
        <w:t xml:space="preserve"> </w:t>
      </w:r>
      <w:r>
        <w:rPr>
          <w:b/>
          <w:bCs/>
        </w:rPr>
        <w:t xml:space="preserve">Martin Reef (14-123):</w:t>
      </w:r>
      <w:r>
        <w:t xml:space="preserve"> </w:t>
      </w:r>
      <w:r>
        <w:t xml:space="preserve">Model RMSE = 0.05, Benchmark RMSE = 0.09, SRCC = 0.9; (</w:t>
      </w:r>
      <w:r>
        <w:rPr>
          <w:b/>
          <w:bCs/>
        </w:rPr>
        <w:t xml:space="preserve">D</w:t>
      </w:r>
      <w:r>
        <w:t xml:space="preserve">)</w:t>
      </w:r>
      <w:r>
        <w:t xml:space="preserve"> </w:t>
      </w:r>
      <w:r>
        <w:rPr>
          <w:b/>
          <w:bCs/>
        </w:rPr>
        <w:t xml:space="preserve">Pompey Reef (No 2) (20-351b):</w:t>
      </w:r>
      <w:r>
        <w:t xml:space="preserve"> </w:t>
      </w:r>
      <w:r>
        <w:t xml:space="preserve">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t>r</m:t>
                            </m:r>
                            <m:r>
                              <m:t>e</m:t>
                            </m:r>
                            <m:r>
                              <m:t>c</m:t>
                            </m:r>
                            <m:r>
                              <m:t>r</m:t>
                            </m:r>
                            <m:r>
                              <m:t>u</m:t>
                            </m:r>
                            <m:r>
                              <m:t>i</m:t>
                            </m:r>
                            <m:r>
                              <m:t>t</m:t>
                            </m:r>
                            <m:r>
                              <m: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sSubSup>
                                  <m:e>
                                    <m:r>
                                      <m:t>v</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v</m:t>
                                    </m:r>
                                  </m:e>
                                  <m:sub>
                                    <m:r>
                                      <m:t>t</m:t>
                                    </m:r>
                                    <m:r>
                                      <m:rPr>
                                        <m:sty m:val="p"/>
                                      </m:rPr>
                                      <m:t>;</m:t>
                                    </m:r>
                                    <m:r>
                                      <m:t> </m:t>
                                    </m:r>
                                    <m:r>
                                      <m:t>g</m:t>
                                    </m:r>
                                    <m:r>
                                      <m:rPr>
                                        <m:sty m:val="p"/>
                                      </m:rPr>
                                      <m:t>,</m:t>
                                    </m:r>
                                    <m:r>
                                      <m:t>z</m:t>
                                    </m:r>
                                    <m:r>
                                      <m:rPr>
                                        <m:sty m:val="p"/>
                                      </m:rPr>
                                      <m:t>,</m:t>
                                    </m:r>
                                    <m:r>
                                      <m:t>l</m:t>
                                    </m:r>
                                  </m:sub>
                                  <m:sup>
                                    <m:r>
                                      <m:t>b</m:t>
                                    </m:r>
                                    <m:r>
                                      <m:t>l</m:t>
                                    </m:r>
                                    <m:r>
                                      <m:t>e</m:t>
                                    </m:r>
                                    <m:r>
                                      <m:t>a</m:t>
                                    </m:r>
                                    <m:r>
                                      <m:t>c</m:t>
                                    </m:r>
                                    <m:r>
                                      <m:t>h</m:t>
                                    </m:r>
                                    <m:r>
                                      <m:t>i</m:t>
                                    </m:r>
                                    <m:r>
                                      <m:t>n</m:t>
                                    </m:r>
                                    <m:r>
                                      <m:t>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t>r</m:t>
            </m:r>
            <m:r>
              <m:t>e</m:t>
            </m:r>
            <m:r>
              <m:t>c</m:t>
            </m:r>
            <m:r>
              <m:t>r</m:t>
            </m:r>
            <m:r>
              <m:t>u</m:t>
            </m:r>
            <m:r>
              <m:t>i</m:t>
            </m:r>
            <m:r>
              <m:t>t</m:t>
            </m:r>
            <m:r>
              <m: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t>g</m:t>
                        </m:r>
                        <m:r>
                          <m:rPr>
                            <m:sty m:val="p"/>
                          </m:rPr>
                          <m:t>,</m:t>
                        </m:r>
                        <m: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t>b</m:t>
            </m:r>
            <m:r>
              <m:t>l</m:t>
            </m:r>
            <m:r>
              <m:t>e</m:t>
            </m:r>
            <m:r>
              <m:t>a</m:t>
            </m:r>
            <m:r>
              <m:t>c</m:t>
            </m:r>
            <m:r>
              <m:t>h</m:t>
            </m:r>
            <m:r>
              <m:t>i</m:t>
            </m:r>
            <m:r>
              <m:t>n</m:t>
            </m:r>
            <m:r>
              <m:t>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t>g</m:t>
            </m:r>
            <m:r>
              <m:t>r</m:t>
            </m:r>
            <m:r>
              <m:t>o</m:t>
            </m:r>
            <m:r>
              <m:t>w</m:t>
            </m:r>
            <m:r>
              <m:t>t</m:t>
            </m:r>
            <m:r>
              <m: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t>g</m:t>
                    </m:r>
                    <m:r>
                      <m:t>r</m:t>
                    </m:r>
                    <m:r>
                      <m:t>o</m:t>
                    </m:r>
                    <m:r>
                      <m:t>w</m:t>
                    </m:r>
                    <m:r>
                      <m:t>t</m:t>
                    </m:r>
                    <m:r>
                      <m: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b</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equation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t>b</m:t>
                                  </m:r>
                                  <m:r>
                                    <m:t>a</m:t>
                                  </m:r>
                                  <m:r>
                                    <m:t>s</m:t>
                                  </m:r>
                                  <m:r>
                                    <m:t>e</m:t>
                                  </m:r>
                                </m:sup>
                              </m:sSup>
                            </m:num>
                            <m:den>
                              <m:r>
                                <m:t>1</m:t>
                              </m:r>
                              <m:r>
                                <m:rPr>
                                  <m:sty m:val="p"/>
                                </m:rPr>
                                <m:t>+</m:t>
                              </m:r>
                              <m:r>
                                <m:t>D</m:t>
                              </m:r>
                              <m:r>
                                <m:t>H</m:t>
                              </m:r>
                              <m:sSub>
                                <m:e>
                                  <m:r>
                                    <m:t>W</m:t>
                                  </m:r>
                                </m:e>
                                <m:sub>
                                  <m:r>
                                    <m:t>t</m:t>
                                  </m:r>
                                  <m:r>
                                    <m:rPr>
                                      <m:sty m:val="p"/>
                                    </m:rPr>
                                    <m:t>;</m:t>
                                  </m:r>
                                  <m:r>
                                    <m:t>l</m:t>
                                  </m:r>
                                </m:sub>
                              </m:sSub>
                              <m:r>
                                <m:rPr>
                                  <m:sty m:val="p"/>
                                </m:rPr>
                                <m:t>/</m:t>
                              </m:r>
                              <m:sSup>
                                <m:e>
                                  <m:r>
                                    <m:t>η</m:t>
                                  </m:r>
                                </m:e>
                                <m:sup>
                                  <m:r>
                                    <m:t>m</m:t>
                                  </m:r>
                                  <m:r>
                                    <m:t>i</m:t>
                                  </m:r>
                                  <m:r>
                                    <m:t>x</m:t>
                                  </m:r>
                                </m:sup>
                              </m:sSup>
                            </m:den>
                          </m:f>
                          <m:r>
                            <m:rPr>
                              <m:sty m:val="p"/>
                            </m:rPr>
                            <m:t>,</m:t>
                          </m:r>
                        </m:e>
                        <m:e>
                          <m:sSup>
                            <m:e>
                              <m:r>
                                <m:t>η</m:t>
                              </m:r>
                            </m:e>
                            <m:sup>
                              <m:r>
                                <m:t>m</m:t>
                              </m:r>
                              <m:r>
                                <m:t>i</m:t>
                              </m:r>
                              <m:r>
                                <m:t>x</m:t>
                              </m:r>
                            </m:sup>
                          </m:sSup>
                          <m:r>
                            <m:rPr>
                              <m:sty m:val="p"/>
                            </m:rPr>
                            <m:t>&gt;</m:t>
                          </m:r>
                          <m:r>
                            <m:t>0</m:t>
                          </m:r>
                        </m:e>
                      </m:mr>
                      <m:mr>
                        <m:e>
                          <m:r>
                            <m:t>0</m:t>
                          </m:r>
                          <m:r>
                            <m:rPr>
                              <m:sty m:val="p"/>
                            </m:rPr>
                            <m:t>,</m:t>
                          </m:r>
                        </m:e>
                        <m:e>
                          <m:sSup>
                            <m:e>
                              <m:r>
                                <m:t>η</m:t>
                              </m:r>
                            </m:e>
                            <m:sup>
                              <m:r>
                                <m:t>m</m:t>
                              </m:r>
                              <m:r>
                                <m:t>i</m:t>
                              </m:r>
                              <m:r>
                                <m:t>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t>b</m:t>
            </m:r>
            <m:r>
              <m:t>a</m:t>
            </m:r>
            <m:r>
              <m:t>s</m:t>
            </m:r>
            <m:r>
              <m:t>e</m:t>
            </m:r>
          </m:sup>
        </m:sSup>
      </m:oMath>
      <w:r>
        <w:t xml:space="preserve">, in m</w:t>
      </w:r>
      <m:oMath>
        <m:sSup>
          <m:e>
            <m:r>
              <m:t>​</m:t>
            </m:r>
          </m:e>
          <m:sup>
            <m:r>
              <m:rPr>
                <m:sty m:val="p"/>
              </m:rPr>
              <m:t>−</m:t>
            </m:r>
            <m:r>
              <m:t>1</m:t>
            </m:r>
          </m:sup>
        </m:sSup>
      </m:oMath>
      <w:r>
        <w:t xml:space="preserve">) and a mixing factor (</w:t>
      </w:r>
      <m:oMath>
        <m:sSup>
          <m:e>
            <m:r>
              <m:t>η</m:t>
            </m:r>
          </m:e>
          <m:sup>
            <m:r>
              <m:t>m</m:t>
            </m:r>
            <m:r>
              <m:t>i</m:t>
            </m:r>
            <m:r>
              <m:t>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t>b</m:t>
            </m:r>
            <m:r>
              <m:t>a</m:t>
            </m:r>
            <m:r>
              <m:t>s</m:t>
            </m:r>
            <m:r>
              <m:t>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t>m</m:t>
            </m:r>
            <m:r>
              <m:t>i</m:t>
            </m:r>
            <m:r>
              <m:t>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t>b</m:t>
                    </m:r>
                    <m:r>
                      <m:t>l</m:t>
                    </m:r>
                    <m:r>
                      <m:t>e</m:t>
                    </m:r>
                    <m:r>
                      <m:t>a</m:t>
                    </m:r>
                    <m:r>
                      <m:t>c</m:t>
                    </m:r>
                    <m:r>
                      <m:t>h</m:t>
                    </m:r>
                    <m:r>
                      <m:t>i</m:t>
                    </m:r>
                    <m:r>
                      <m:t>n</m:t>
                    </m:r>
                    <m:r>
                      <m:t>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rPr>
                    <m:sty m:val="p"/>
                  </m:rPr>
                  <m:t>min</m:t>
                </m:r>
                <m:d>
                  <m:dPr>
                    <m:begChr m:val="("/>
                    <m:sepChr m:val=""/>
                    <m:endChr m:val=")"/>
                    <m:grow/>
                  </m:dPr>
                  <m:e>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r>
                      <m:rPr>
                        <m:sty m:val="p"/>
                      </m:rPr>
                      <m:t>,</m:t>
                    </m:r>
                    <m:r>
                      <m:t> </m:t>
                    </m:r>
                    <m:sSubSup>
                      <m:e>
                        <m:r>
                          <m:t>f</m:t>
                        </m:r>
                      </m:e>
                      <m:sub>
                        <m:r>
                          <m:t>g</m:t>
                        </m:r>
                        <m:r>
                          <m:rPr>
                            <m:sty m:val="p"/>
                          </m:rPr>
                          <m:t>,</m:t>
                        </m:r>
                        <m:r>
                          <m:t>z</m:t>
                        </m:r>
                        <m:r>
                          <m:rPr>
                            <m:sty m:val="p"/>
                          </m:rPr>
                          <m:t>,</m:t>
                        </m:r>
                        <m:r>
                          <m:t>l</m:t>
                        </m:r>
                      </m:sub>
                      <m:sup>
                        <m:r>
                          <m:rPr>
                            <m:sty m:val="p"/>
                          </m:rPr>
                          <m:t>+</m:t>
                        </m:r>
                      </m:sup>
                    </m:sSubSup>
                  </m:e>
                </m:d>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Because the ceiling</w:t>
      </w:r>
      <w:r>
        <w:t xml:space="preserve"> </w:t>
      </w:r>
      <m:oMath>
        <m:sSubSup>
          <m:e>
            <m:r>
              <m:t>f</m:t>
            </m:r>
          </m:e>
          <m:sub>
            <m:r>
              <m:t>g</m:t>
            </m:r>
            <m:r>
              <m:rPr>
                <m:sty m:val="p"/>
              </m:rPr>
              <m:t>,</m:t>
            </m:r>
            <m:r>
              <m:t>z</m:t>
            </m:r>
            <m:r>
              <m:rPr>
                <m:sty m:val="p"/>
              </m:rPr>
              <m:t>,</m:t>
            </m:r>
            <m:r>
              <m:t>l</m:t>
            </m:r>
          </m:sub>
          <m:sup>
            <m:r>
              <m:rPr>
                <m:sty m:val="p"/>
              </m:rPr>
              <m:t>+</m:t>
            </m:r>
          </m:sup>
        </m:sSubSup>
      </m:oMath>
      <w:r>
        <w:t xml:space="preserve"> </w:t>
      </w:r>
      <w:r>
        <w:t xml:space="preserve">is anchored to each size class’s own initial mean, it can differ between size classes</w:t>
      </w:r>
      <w:r>
        <w:t xml:space="preserve"> </w:t>
      </w:r>
      <m:oMath>
        <m:r>
          <m:t>z</m:t>
        </m:r>
        <m:r>
          <m:rPr>
            <m:sty m:val="p"/>
          </m:rPr>
          <m:t>−</m:t>
        </m:r>
        <m:r>
          <m:t>1</m:t>
        </m:r>
      </m:oMath>
      <w:r>
        <w:t xml:space="preserve"> </w:t>
      </w:r>
      <w:r>
        <w:t xml:space="preserve">and</w:t>
      </w:r>
      <w:r>
        <w:t xml:space="preserve"> </w:t>
      </w:r>
      <m:oMath>
        <m:r>
          <m:t>z</m:t>
        </m:r>
      </m:oMath>
      <w:r>
        <w:t xml:space="preserve">; the resulting blend is therefore capped at</w:t>
      </w:r>
      <w:r>
        <w:t xml:space="preserve"> </w:t>
      </w:r>
      <m:oMath>
        <m:sSubSup>
          <m:e>
            <m:r>
              <m:t>f</m:t>
            </m:r>
          </m:e>
          <m:sub>
            <m:r>
              <m:t>g</m:t>
            </m:r>
            <m:r>
              <m:rPr>
                <m:sty m:val="p"/>
              </m:rPr>
              <m:t>,</m:t>
            </m:r>
            <m:r>
              <m:t>z</m:t>
            </m:r>
            <m:r>
              <m:rPr>
                <m:sty m:val="p"/>
              </m:rPr>
              <m:t>,</m:t>
            </m:r>
            <m:r>
              <m:t>l</m:t>
            </m:r>
          </m:sub>
          <m:sup>
            <m:r>
              <m:rPr>
                <m:sty m:val="p"/>
              </m:rPr>
              <m:t>+</m:t>
            </m:r>
          </m:sup>
        </m:sSubSup>
      </m:oMath>
      <w:r>
        <w:t xml:space="preserve">, the ceiling of the size class it is now assigned to, so that blending across size classes does not push the mean past that size class’s ceiling. The DHW tolerance distributions after the growth event can be written with equations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equation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rPr>
                    <m:sty m:val="p"/>
                  </m:rPr>
                  <m:t>min</m:t>
                </m:r>
                <m:d>
                  <m:dPr>
                    <m:begChr m:val="("/>
                    <m:sepChr m:val=""/>
                    <m:endChr m:val=")"/>
                    <m:grow/>
                  </m:dPr>
                  <m:e>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e>
                    </m:nary>
                    <m:r>
                      <m:rPr>
                        <m:sty m:val="p"/>
                      </m:rPr>
                      <m:t>,</m:t>
                    </m:r>
                    <m:r>
                      <m:t> </m:t>
                    </m:r>
                    <m:sSubSup>
                      <m:e>
                        <m:r>
                          <m:t>f</m:t>
                        </m:r>
                      </m:e>
                      <m:sub>
                        <m:r>
                          <m:t>g</m:t>
                        </m:r>
                        <m:r>
                          <m:rPr>
                            <m:sty m:val="p"/>
                          </m:rPr>
                          <m:t>,</m:t>
                        </m:r>
                        <m:r>
                          <m:t>1</m:t>
                        </m:r>
                        <m:r>
                          <m:rPr>
                            <m:sty m:val="p"/>
                          </m:rPr>
                          <m:t>,</m:t>
                        </m:r>
                        <m:r>
                          <m:t>l</m:t>
                        </m:r>
                      </m:sub>
                      <m:sup>
                        <m:r>
                          <m:rPr>
                            <m:sty m:val="p"/>
                          </m:rPr>
                          <m:t>+</m:t>
                        </m:r>
                      </m:sup>
                    </m:sSubSup>
                  </m:e>
                </m:d>
                <m:sSubSup>
                  <m:e>
                    <m:r>
                      <m:t>F</m:t>
                    </m:r>
                  </m:e>
                  <m:sub>
                    <m:r>
                      <m:t>t</m:t>
                    </m:r>
                    <m:r>
                      <m:rPr>
                        <m:sty m:val="p"/>
                      </m:rPr>
                      <m:t>;</m:t>
                    </m:r>
                    <m:r>
                      <m:t> </m:t>
                    </m:r>
                    <m:r>
                      <m:t>g</m:t>
                    </m:r>
                    <m:r>
                      <m:rPr>
                        <m:sty m:val="p"/>
                      </m:rPr>
                      <m:t>,</m:t>
                    </m:r>
                    <m:r>
                      <m:t>1</m:t>
                    </m:r>
                    <m:r>
                      <m:rPr>
                        <m:sty m:val="p"/>
                      </m:rPr>
                      <m:t>,</m:t>
                    </m:r>
                    <m:r>
                      <m:t>l</m:t>
                    </m:r>
                  </m:sub>
                  <m:sup>
                    <m:r>
                      <m:t>r</m:t>
                    </m:r>
                    <m:r>
                      <m:t>e</m:t>
                    </m:r>
                    <m:r>
                      <m:t>p</m:t>
                    </m:r>
                    <m:r>
                      <m:t>r</m:t>
                    </m:r>
                    <m:r>
                      <m:t>o</m:t>
                    </m:r>
                    <m:r>
                      <m:t>d</m:t>
                    </m:r>
                    <m:r>
                      <m:rPr>
                        <m:sty m:val="p"/>
                      </m:rPr>
                      <m:t>.</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 Because the heritable shift in equation (19) can push</w:t>
      </w:r>
      <w:r>
        <w:t xml:space="preserve"> </w:t>
      </w: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oMath>
      <w:r>
        <w:t xml:space="preserve"> </w:t>
      </w:r>
      <w:r>
        <w:t xml:space="preserve">above the source location’s own ceiling, and the connectivity-weighted combination in equation (20) can compound this across source locations,</w:t>
      </w:r>
      <w:r>
        <w:t xml:space="preserve"> </w:t>
      </w:r>
      <m:oMath>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oMath>
      <w:r>
        <w:t xml:space="preserve"> </w:t>
      </w:r>
      <w:r>
        <w:t xml:space="preserve">is capped at the sink size class’s ceiling</w:t>
      </w:r>
      <w:r>
        <w:t xml:space="preserve"> </w:t>
      </w:r>
      <m:oMath>
        <m:sSubSup>
          <m:e>
            <m:r>
              <m:t>f</m:t>
            </m:r>
          </m:e>
          <m:sub>
            <m:r>
              <m:t>g</m:t>
            </m:r>
            <m:r>
              <m:rPr>
                <m:sty m:val="p"/>
              </m:rPr>
              <m:t>,</m:t>
            </m:r>
            <m:r>
              <m:t>1</m:t>
            </m:r>
            <m:r>
              <m:rPr>
                <m:sty m:val="p"/>
              </m:rPr>
              <m:t>,</m:t>
            </m:r>
            <m:r>
              <m:t>l</m:t>
            </m:r>
          </m:sub>
          <m:sup>
            <m:r>
              <m:rPr>
                <m:sty m:val="p"/>
              </m:rPr>
              <m:t>+</m:t>
            </m:r>
          </m:sup>
        </m:sSubSup>
      </m:oMath>
      <w:r>
        <w:t xml:space="preserve"> </w:t>
      </w:r>
      <w:r>
        <w:t xml:space="preserve">before being used as the mean of the truncated normal.</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r>
        <w:t xml:space="preserve"> </w:t>
      </w:r>
      <w:r>
        <w:t xml:space="preserve">245 parameters in total.</w:t>
      </w:r>
    </w:p>
    <w:tbl>
      <w:tblPr>
        <w:tblStyle w:val="Table"/>
        <w:tblW w:type="pct" w:w="4950"/>
        <w:tblLayout w:type="fixed"/>
        <w:tblLook w:firstRow="1" w:lastRow="0" w:firstColumn="0" w:lastColumn="0" w:noHBand="0" w:noVBand="0" w:val="0020"/>
        <w:tblCaption w:val="Table 1. Parameters used in the calibration. 245 parameters in total."/>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two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and ii) the Spearman Rank Correlation Coefficient (SRCC) between observed and modelled relative coral cover. Positive ΔRMSE values indicate reefs where CoralBlox outperforms the benchmark. SRCC values provide an indication of alignment in trends between simulation and observations.</w:t>
      </w:r>
    </w:p>
    <w:p>
      <w:pPr>
        <w:pStyle w:val="BodyText"/>
      </w:pPr>
      <w:r>
        <w:t xml:space="preserve">Uncertainty in these metrics was quantified via bootstrap resampling, using the Bootstrap.jl Julia package</w:t>
      </w:r>
      <w:r>
        <w:t xml:space="preserve"> </w:t>
      </w:r>
      <w:r>
        <w:t xml:space="preserve">(73)</w:t>
      </w:r>
      <w:r>
        <w:t xml:space="preserve">. For each location, confidence intervals were obtained by resampling its paired modelled/observed annual values with replacement: locations with five or more years of observations used a circular block bootstrap (block lengths of two to three years, to preserve year-to-year autocorrelation in the error series), while locations with the minimum of four observed years used a standard independent-and-identically-distributed (iid) bootstrap. Both used 2,000 resamples and 95% percentile confidence intervals. The median ΔRMSE and SRCC reported for the calibration and test sets were themselves bootstrapped. This second-stage bootstrap resampled which locations’ point estimates were included and took the median across 2,000 such resamples. Only locations eligible for the block bootstrap were included, so locations with just four years of data contribute a per-location estimate but do not influence the aggregate median’s uncertainty.</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(74)</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(75)</w:t>
      </w:r>
      <w:r>
        <w:t xml:space="preserve">. For the heat-stress correlations, we calculated the SRCC between each reefs’ performance metric and the maximum cumulative thermal exposure, measured in DHW.</w:t>
      </w:r>
    </w:p>
    <w:bookmarkEnd w:id="44"/>
    <w:bookmarkEnd w:id="45"/>
    <w:bookmarkStart w:id="200" w:name="references"/>
    <w:p>
      <w:pPr>
        <w:pStyle w:val="Heading1"/>
      </w:pPr>
      <w:r>
        <w:t xml:space="preserve">5. References</w:t>
      </w:r>
    </w:p>
    <w:bookmarkStart w:id="199"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8" w:name="ref-gehringJuliangehringBootstrapjl2023"/>
    <w:p>
      <w:pPr>
        <w:pStyle w:val="Bibliography"/>
      </w:pPr>
      <w:r>
        <w:t xml:space="preserve">73.</w:t>
      </w:r>
      <w:r>
        <w:t xml:space="preserve"> </w:t>
      </w:r>
      <w:r>
        <w:t xml:space="preserve">	</w:t>
      </w:r>
      <w:r>
        <w:t xml:space="preserve">J. Gehring, D. Widmann, D. Kleinschmidt, R. Finnegan, B. Kamiński, C. Bowers, H. Perez, M. Molignano, M. Bouchet-Valat, P. K. Mogensen, T. Kelman, N. Ignatiadis, Juliangehring/</w:t>
      </w:r>
      <w:r>
        <w:t xml:space="preserve">Bootstrap</w:t>
      </w:r>
      <w:r>
        <w:t xml:space="preserve">.jl (2023).</w:t>
      </w:r>
      <w:r>
        <w:t xml:space="preserve"> </w:t>
      </w:r>
      <w:hyperlink r:id="rId187">
        <w:r>
          <w:rPr>
            <w:rStyle w:val="Hyperlink"/>
          </w:rPr>
          <w:t xml:space="preserve">https://doi.org/10.5281/zenodo.596080</w:t>
        </w:r>
      </w:hyperlink>
      <w:r>
        <w:t xml:space="preserve">.</w:t>
      </w:r>
    </w:p>
    <w:bookmarkEnd w:id="188"/>
    <w:bookmarkStart w:id="189" w:name="Xa83e23e167102cfe0c1fea1f6db60356621499d"/>
    <w:p>
      <w:pPr>
        <w:pStyle w:val="Bibliography"/>
      </w:pPr>
      <w:r>
        <w:t xml:space="preserve">74.</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9"/>
    <w:bookmarkStart w:id="191" w:name="X90d60492b4d63718ae429e70f3313976dfb865b"/>
    <w:p>
      <w:pPr>
        <w:pStyle w:val="Bibliography"/>
      </w:pPr>
      <w:r>
        <w:t xml:space="preserve">75.</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90">
        <w:r>
          <w:rPr>
            <w:rStyle w:val="Hyperlink"/>
          </w:rPr>
          <w:t xml:space="preserve">https://github.com/JuliaStats/Distances.jl</w:t>
        </w:r>
      </w:hyperlink>
      <w:r>
        <w:t xml:space="preserve">.</w:t>
      </w:r>
    </w:p>
    <w:bookmarkEnd w:id="191"/>
    <w:bookmarkStart w:id="193" w:name="X81557c63b0289a9098c577f968c772c4fd97fd1"/>
    <w:p>
      <w:pPr>
        <w:pStyle w:val="Bibliography"/>
      </w:pPr>
      <w:r>
        <w:t xml:space="preserve">76.</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2">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3"/>
    <w:bookmarkStart w:id="195" w:name="ref-feldtRobertfeldtBlackBoxOptimjl2023"/>
    <w:p>
      <w:pPr>
        <w:pStyle w:val="Bibliography"/>
      </w:pPr>
      <w:r>
        <w:t xml:space="preserve">77.</w:t>
      </w:r>
      <w:r>
        <w:t xml:space="preserve"> </w:t>
      </w:r>
      <w:r>
        <w:t xml:space="preserve">	</w:t>
      </w:r>
      <w:r>
        <w:t xml:space="preserve">R. Feldt, A. Stukalov, C. Rackauckas, Robertfeldt/</w:t>
      </w:r>
      <w:r>
        <w:t xml:space="preserve">BlackBoxOptim</w:t>
      </w:r>
      <w:r>
        <w:t xml:space="preserve">.jl (2023).</w:t>
      </w:r>
      <w:r>
        <w:t xml:space="preserve"> </w:t>
      </w:r>
      <w:hyperlink r:id="rId194">
        <w:r>
          <w:rPr>
            <w:rStyle w:val="Hyperlink"/>
          </w:rPr>
          <w:t xml:space="preserve">https://github.com/robertfeldt/BlackBoxOptim.jl</w:t>
        </w:r>
      </w:hyperlink>
      <w:r>
        <w:t xml:space="preserve">.</w:t>
      </w:r>
    </w:p>
    <w:bookmarkEnd w:id="195"/>
    <w:bookmarkStart w:id="197" w:name="ref-skirvingCoralTempCoralReef2020"/>
    <w:p>
      <w:pPr>
        <w:pStyle w:val="Bibliography"/>
      </w:pPr>
      <w:r>
        <w:t xml:space="preserve">78.</w:t>
      </w:r>
      <w:r>
        <w:t xml:space="preserve"> </w:t>
      </w:r>
      <w:r>
        <w:t xml:space="preserve">	</w:t>
      </w:r>
      <w:r>
        <w:t xml:space="preserve">W. Skirving, B. Marsh, J. De La Cour, G. Liu, A. Harris, E. Maturi, E. Geiger, C. M. Eakin,</w:t>
      </w:r>
      <w:r>
        <w:t xml:space="preserve"> </w:t>
      </w:r>
      <w:hyperlink r:id="rId196">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7"/>
    <w:bookmarkStart w:id="198" w:name="ref-NOAACoralReef"/>
    <w:p>
      <w:pPr>
        <w:pStyle w:val="Bibliography"/>
      </w:pPr>
      <w:r>
        <w:t xml:space="preserve">79.</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8"/>
    <w:bookmarkEnd w:id="199"/>
    <w:bookmarkEnd w:id="200"/>
    <w:bookmarkStart w:id="209"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201"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201"/>
    <w:bookmarkStart w:id="202"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2"/>
    <w:bookmarkStart w:id="203" w:name="competing-interests"/>
    <w:p>
      <w:pPr>
        <w:pStyle w:val="Heading2"/>
      </w:pPr>
      <w:r>
        <w:t xml:space="preserve">6.3 Competing Interests</w:t>
      </w:r>
    </w:p>
    <w:p>
      <w:pPr>
        <w:pStyle w:val="FirstParagraph"/>
      </w:pPr>
      <w:r>
        <w:t xml:space="preserve">The authors declare no competing interests.</w:t>
      </w:r>
    </w:p>
    <w:bookmarkEnd w:id="203"/>
    <w:bookmarkStart w:id="208"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4">
        <w:r>
          <w:rPr>
            <w:rStyle w:val="Hyperlink"/>
          </w:rPr>
          <w:t xml:space="preserve">https://github.com/open-AIMS/CoralBlox.jl</w:t>
        </w:r>
      </w:hyperlink>
      <w:r>
        <w:t xml:space="preserve">. The code for ADRIA is also freely and openly available at</w:t>
      </w:r>
      <w:r>
        <w:t xml:space="preserve"> </w:t>
      </w:r>
      <w:hyperlink r:id="rId205">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6">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7">
        <w:r>
          <w:rPr>
            <w:rStyle w:val="Hyperlink"/>
          </w:rPr>
          <w:t xml:space="preserve">https://coralreefwatch.noaa.gov/product/5km/</w:t>
        </w:r>
      </w:hyperlink>
      <w:r>
        <w:t xml:space="preserve">). Annual values are based on 1 July from the year prior to 30 June.</w:t>
      </w:r>
    </w:p>
    <w:bookmarkEnd w:id="208"/>
    <w:bookmarkEnd w:id="209"/>
    <w:bookmarkStart w:id="237" w:name="supplementary-materials"/>
    <w:p>
      <w:pPr>
        <w:pStyle w:val="Heading1"/>
      </w:pPr>
      <w:r>
        <w:t xml:space="preserve">7. Supplementary Materials</w:t>
      </w:r>
    </w:p>
    <w:bookmarkStart w:id="210" w:name="parameter-values"/>
    <w:p>
      <w:pPr>
        <w:pStyle w:val="Heading2"/>
      </w:pPr>
      <w:r>
        <w:t xml:space="preserve">7.1 Parameter values</w:t>
      </w:r>
    </w:p>
    <w:p>
      <w:pPr>
        <w:pStyle w:val="FirstParagraph"/>
      </w:pPr>
      <w:r>
        <w:rPr>
          <w:b/>
          <w:bCs/>
        </w:rPr>
        <w:t xml:space="preserve">Heritability = 0.3</w:t>
      </w:r>
    </w:p>
    <w:bookmarkEnd w:id="210"/>
    <w:bookmarkStart w:id="211" w:name="tables"/>
    <w:p>
      <w:pPr>
        <w:pStyle w:val="Heading2"/>
      </w:pPr>
      <w:r>
        <w:t xml:space="preserve">7.2 Tables</w:t>
      </w:r>
    </w:p>
    <w:p>
      <w:pPr>
        <w:pStyle w:val="TableCaption"/>
      </w:pPr>
      <w:r>
        <w:rPr>
          <w:b/>
          <w:bCs/>
        </w:rPr>
        <w:t xml:space="preserve">Table S1.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1.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0.36 [0.16, 0.61]</w:t>
            </w:r>
          </w:p>
        </w:tc>
        <w:tc>
          <w:tcPr/>
          <w:p>
            <w:pPr>
              <w:pStyle w:val="Compact"/>
              <w:jc w:val="left"/>
            </w:pPr>
            <w:r>
              <w:t xml:space="preserve">-0.39 [-0.62, -0.2]</w:t>
            </w:r>
          </w:p>
        </w:tc>
        <w:tc>
          <w:tcPr/>
          <w:p>
            <w:pPr>
              <w:pStyle w:val="Compact"/>
              <w:jc w:val="left"/>
            </w:pPr>
            <w:r>
              <w:t xml:space="preserve">-0.43 [-0.65, -0.24]</w:t>
            </w:r>
          </w:p>
        </w:tc>
      </w:tr>
      <w:tr>
        <w:tc>
          <w:tcPr/>
          <w:p>
            <w:pPr>
              <w:pStyle w:val="Compact"/>
              <w:jc w:val="left"/>
            </w:pPr>
            <w:r>
              <w:t xml:space="preserve">ΔRMSE Test</w:t>
            </w:r>
          </w:p>
        </w:tc>
        <w:tc>
          <w:tcPr/>
          <w:p>
            <w:pPr>
              <w:pStyle w:val="Compact"/>
              <w:jc w:val="left"/>
            </w:pPr>
            <w:r>
              <w:t xml:space="preserve">0.45 [0.19, 0.83]</w:t>
            </w:r>
          </w:p>
        </w:tc>
        <w:tc>
          <w:tcPr/>
          <w:p>
            <w:pPr>
              <w:pStyle w:val="Compact"/>
              <w:jc w:val="left"/>
            </w:pPr>
            <w:r>
              <w:t xml:space="preserve">-0.39 [-0.76, -0.11]</w:t>
            </w:r>
          </w:p>
        </w:tc>
        <w:tc>
          <w:tcPr/>
          <w:p>
            <w:pPr>
              <w:pStyle w:val="Compact"/>
              <w:jc w:val="left"/>
            </w:pPr>
            <w:r>
              <w:t xml:space="preserve">-0.57 [-1.01, -0.32]</w:t>
            </w:r>
          </w:p>
        </w:tc>
      </w:tr>
      <w:tr>
        <w:tc>
          <w:tcPr/>
          <w:p>
            <w:pPr>
              <w:pStyle w:val="Compact"/>
              <w:jc w:val="left"/>
            </w:pPr>
            <w:r>
              <w:t xml:space="preserve">SRCC Calibration</w:t>
            </w:r>
          </w:p>
        </w:tc>
        <w:tc>
          <w:tcPr/>
          <w:p>
            <w:pPr>
              <w:pStyle w:val="Compact"/>
              <w:jc w:val="left"/>
            </w:pPr>
            <w:r>
              <w:t xml:space="preserve">0.24 [0.03, 0.48]</w:t>
            </w:r>
          </w:p>
        </w:tc>
        <w:tc>
          <w:tcPr/>
          <w:p>
            <w:pPr>
              <w:pStyle w:val="Compact"/>
              <w:jc w:val="left"/>
            </w:pPr>
            <w:r>
              <w:t xml:space="preserve">-0.27 [-0.5, -0.05]</w:t>
            </w:r>
          </w:p>
        </w:tc>
        <w:tc>
          <w:tcPr/>
          <w:p>
            <w:pPr>
              <w:pStyle w:val="Compact"/>
              <w:jc w:val="left"/>
            </w:pPr>
            <w:r>
              <w:t xml:space="preserve">-0.46 [-0.68, -0.29]</w:t>
            </w:r>
          </w:p>
        </w:tc>
      </w:tr>
      <w:tr>
        <w:tc>
          <w:tcPr/>
          <w:p>
            <w:pPr>
              <w:pStyle w:val="Compact"/>
              <w:jc w:val="left"/>
            </w:pPr>
            <w:r>
              <w:t xml:space="preserve">SRCC Test</w:t>
            </w:r>
          </w:p>
        </w:tc>
        <w:tc>
          <w:tcPr/>
          <w:p>
            <w:pPr>
              <w:pStyle w:val="Compact"/>
              <w:jc w:val="left"/>
            </w:pPr>
            <w:r>
              <w:t xml:space="preserve">0.5 [0.24, 0.89]</w:t>
            </w:r>
          </w:p>
        </w:tc>
        <w:tc>
          <w:tcPr/>
          <w:p>
            <w:pPr>
              <w:pStyle w:val="Compact"/>
              <w:jc w:val="left"/>
            </w:pPr>
            <w:r>
              <w:t xml:space="preserve">-0.44 [-0.81, -0.16]</w:t>
            </w:r>
          </w:p>
        </w:tc>
        <w:tc>
          <w:tcPr/>
          <w:p>
            <w:pPr>
              <w:pStyle w:val="Compact"/>
              <w:jc w:val="left"/>
            </w:pPr>
            <w:r>
              <w:t xml:space="preserve">-0.53 [-0.87, -0.29]</w:t>
            </w:r>
          </w:p>
        </w:tc>
      </w:tr>
    </w:tbl>
    <w:p>
      <w:pPr>
        <w:pStyle w:val="BodyText"/>
      </w:pPr>
      <w:r>
        <w:t xml:space="preserve"> </w:t>
      </w:r>
    </w:p>
    <w:p>
      <w:pPr>
        <w:pStyle w:val="TableCaption"/>
      </w:pPr>
      <w:r>
        <w:rPr>
          <w:b/>
          <w:bCs/>
        </w:rPr>
        <w:t xml:space="preserve">Table S2. Bootstrapped median performance metrics and 95% confidence intervals for calibration and test reefs.</w:t>
      </w:r>
    </w:p>
    <w:tbl>
      <w:tblPr>
        <w:tblStyle w:val="Table"/>
        <w:tblW w:type="auto" w:w="0"/>
        <w:tblLook w:firstRow="1" w:lastRow="0" w:firstColumn="0" w:lastColumn="0" w:noHBand="0" w:noVBand="0" w:val="0020"/>
        <w:tblCaption w:val="Table S2.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0.1]</w:t>
            </w:r>
          </w:p>
        </w:tc>
      </w:tr>
      <w:tr>
        <w:tc>
          <w:tcPr/>
          <w:p>
            <w:pPr>
              <w:pStyle w:val="Compact"/>
              <w:jc w:val="left"/>
            </w:pPr>
            <w:r>
              <w:t xml:space="preserve">ΔRMSE</w:t>
            </w:r>
          </w:p>
        </w:tc>
        <w:tc>
          <w:tcPr/>
          <w:p>
            <w:pPr>
              <w:pStyle w:val="Compact"/>
              <w:jc w:val="left"/>
            </w:pPr>
            <w:r>
              <w:t xml:space="preserve">0.02 [0.0, 0.03]</w:t>
            </w:r>
          </w:p>
        </w:tc>
        <w:tc>
          <w:tcPr/>
          <w:p>
            <w:pPr>
              <w:pStyle w:val="Compact"/>
              <w:jc w:val="left"/>
            </w:pPr>
            <w:r>
              <w:t xml:space="preserve">0.01 [-0.0, 0.05]</w:t>
            </w:r>
          </w:p>
        </w:tc>
      </w:tr>
      <w:tr>
        <w:tc>
          <w:tcPr/>
          <w:p>
            <w:pPr>
              <w:pStyle w:val="Compact"/>
              <w:jc w:val="left"/>
            </w:pPr>
            <w:r>
              <w:t xml:space="preserve">SRCC</w:t>
            </w:r>
          </w:p>
        </w:tc>
        <w:tc>
          <w:tcPr/>
          <w:p>
            <w:pPr>
              <w:pStyle w:val="Compact"/>
              <w:jc w:val="left"/>
            </w:pPr>
            <w:r>
              <w:t xml:space="preserve">0.77 [0.67, 0.82]</w:t>
            </w:r>
          </w:p>
        </w:tc>
        <w:tc>
          <w:tcPr/>
          <w:p>
            <w:pPr>
              <w:pStyle w:val="Compact"/>
              <w:jc w:val="left"/>
            </w:pPr>
            <w:r>
              <w:t xml:space="preserve">0.78 [0.6, 0.89]</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jc w:val="lef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lef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jc w:val="lef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jc w:val="lef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jc w:val="lef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jc w:val="lef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jc w:val="lef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jc w:val="lef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jc w:val="center"/>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jc w:val="center"/>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jc w:val="center"/>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jc w:val="center"/>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jc w:val="center"/>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jc w:val="center"/>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jc w:val="center"/>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jc w:val="center"/>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jc w:val="center"/>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jc w:val="center"/>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jc w:val="center"/>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jc w:val="center"/>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jc w:val="center"/>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jc w:val="center"/>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jc w:val="center"/>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jc w:val="center"/>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jc w:val="center"/>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jc w:val="center"/>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jc w:val="center"/>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jc w:val="center"/>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jc w:val="center"/>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3542"/>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1870"/>
        <w:gridCol w:w="1100"/>
        <w:gridCol w:w="1320"/>
        <w:gridCol w:w="1320"/>
      </w:tblGrid>
      <w:tr>
        <w:trPr>
          <w:tblHeader w:val="on"/>
        </w:trPr>
        <w:tc>
          <w:tcPr/>
          <w:p>
            <w:pPr>
              <w:pStyle w:val="Compact"/>
              <w:jc w:val="center"/>
            </w:pPr>
            <m:oMath>
              <m:r>
                <m:rPr>
                  <m:scr m:val="script"/>
                  <m:sty m:val="p"/>
                </m:rPr>
                <m:t>l</m:t>
              </m:r>
            </m:oMath>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jc w:val="center"/>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jc w:val="center"/>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jc w:val="center"/>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jc w:val="center"/>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jc w:val="center"/>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jc w:val="center"/>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jc w:val="center"/>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jc w:val="center"/>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jc w:val="center"/>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jc w:val="center"/>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jc w:val="center"/>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jc w:val="center"/>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11"/>
    <w:bookmarkStart w:id="212"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2"/>
    <w:bookmarkStart w:id="218"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3"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3"/>
    <w:bookmarkStart w:id="214"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4"/>
    <w:bookmarkStart w:id="215"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5"/>
    <w:bookmarkStart w:id="216"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6"/>
    <w:bookmarkStart w:id="217"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7"/>
    <w:bookmarkEnd w:id="218"/>
    <w:bookmarkStart w:id="232"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(76)</w:t>
      </w:r>
      <w:r>
        <w:t xml:space="preserve">, implemented in the BlackBoxOptim.jl Julia package</w:t>
      </w:r>
      <w:r>
        <w:t xml:space="preserve"> </w:t>
      </w:r>
      <w:r>
        <w:t xml:space="preserve">(77)</w:t>
      </w:r>
      <w:r>
        <w:t xml:space="preserve">. The parameter bound settings, data split and objective function are described in more detail in the following sections</w:t>
      </w:r>
    </w:p>
    <w:bookmarkStart w:id="222"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20" name="Picture"/>
            <a:graphic>
              <a:graphicData uri="http://schemas.openxmlformats.org/drawingml/2006/picture">
                <pic:pic>
                  <pic:nvPicPr>
                    <pic:cNvPr descr="media/image7.png" id="221" name="Picture"/>
                    <pic:cNvPicPr>
                      <a:picLocks noChangeArrowheads="1" noChangeAspect="1"/>
                    </pic:cNvPicPr>
                  </pic:nvPicPr>
                  <pic:blipFill>
                    <a:blip r:embed="rId219"/>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2"/>
    <w:bookmarkStart w:id="223" w:name="objective-function"/>
    <w:p>
      <w:pPr>
        <w:pStyle w:val="Heading3"/>
      </w:pPr>
      <w:r>
        <w:t xml:space="preserve">7.5.2 Objective function</w:t>
      </w:r>
    </w:p>
    <w:p>
      <w:pPr>
        <w:pStyle w:val="FirstParagraph"/>
      </w:pPr>
      <w:r>
        <w:t xml:space="preserve">The objective function used to optimize the parameterization of CoralBlox has two components, corresponding to the total cover error and to the coral composition error. The total cover error captures the difference between modelled and observed total coral cover and the coral composition error captures differences between modelled and observed coral composition. AIMS’ Long Term Monitoring Program (LTMP) Manta Tow data was used as the target reef coral cover levels and modelled coral composition data derived from AIMS’ LTMP photogrammetry data was used as target coral composition levels.</w:t>
      </w:r>
    </w:p>
    <w:p>
      <w:pPr>
        <w:pStyle w:val="BodyText"/>
      </w:pPr>
      <w:r>
        <w:t xml:space="preserve">The Mean Absolute Exponential Error (MAEE) between coral cover observed estimates and model outputs was calculated for each timestep of the historical period where data was available. The MAEE for each timestep is given below</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M</m:t>
                    </m:r>
                    <m:r>
                      <m:t>A</m:t>
                    </m:r>
                    <m:r>
                      <m:t>E</m:t>
                    </m:r>
                    <m:r>
                      <m:t>E</m:t>
                    </m:r>
                  </m:e>
                  <m:sub>
                    <m:r>
                      <m:t>t</m:t>
                    </m:r>
                  </m:sub>
                </m:sSub>
                <m:r>
                  <m:rPr>
                    <m:sty m:val="p"/>
                  </m:rPr>
                  <m:t>=</m:t>
                </m:r>
                <m:r>
                  <m:t> </m:t>
                </m:r>
                <m:r>
                  <m:rPr>
                    <m:sty m:val="p"/>
                  </m:rPr>
                  <m:t>exp</m:t>
                </m:r>
                <m:d>
                  <m:dPr>
                    <m:begChr m:val="("/>
                    <m:sepChr m:val=""/>
                    <m:endChr m:val=")"/>
                    <m:grow/>
                  </m:dPr>
                  <m:e>
                    <m:d>
                      <m:dPr>
                        <m:begChr m:val="|"/>
                        <m:sepChr m:val=""/>
                        <m:endChr m:val="|"/>
                        <m:grow/>
                      </m:dPr>
                      <m:e>
                        <m:r>
                          <m:t>y</m:t>
                        </m:r>
                        <m:r>
                          <m:rPr>
                            <m:sty m:val="p"/>
                          </m:rPr>
                          <m:t>−</m:t>
                        </m:r>
                        <m:r>
                          <m:t> </m:t>
                        </m:r>
                        <m:acc>
                          <m:accPr>
                            <m:chr m:val="̂"/>
                          </m:accPr>
                          <m:e>
                            <m:r>
                              <m:t>y</m:t>
                            </m:r>
                          </m:e>
                        </m:acc>
                      </m:e>
                    </m:d>
                    <m:r>
                      <m:rPr>
                        <m:sty m:val="p"/>
                      </m:rPr>
                      <m:t>•</m:t>
                    </m:r>
                    <m:d>
                      <m:dPr>
                        <m:begChr m:val="("/>
                        <m:sepChr m:val=""/>
                        <m:endChr m:val=")"/>
                        <m:grow/>
                      </m:dPr>
                      <m:e>
                        <m:r>
                          <m:t>1</m:t>
                        </m:r>
                        <m:r>
                          <m:rPr>
                            <m:sty m:val="p"/>
                          </m:rPr>
                          <m:t>+</m:t>
                        </m:r>
                        <m:r>
                          <m:t> </m:t>
                        </m:r>
                        <m:d>
                          <m:dPr>
                            <m:begChr m:val="|"/>
                            <m:sepChr m:val=""/>
                            <m:endChr m:val="|"/>
                            <m:grow/>
                          </m:dPr>
                          <m:e>
                            <m:r>
                              <m:t>y</m:t>
                            </m:r>
                            <m:r>
                              <m:rPr>
                                <m:sty m:val="p"/>
                              </m:rPr>
                              <m:t>−</m:t>
                            </m:r>
                            <m:r>
                              <m:t> </m:t>
                            </m:r>
                            <m:acc>
                              <m:accPr>
                                <m:chr m:val="̂"/>
                              </m:accPr>
                              <m:e>
                                <m:r>
                                  <m:t>y</m:t>
                                </m:r>
                              </m:e>
                            </m:acc>
                          </m:e>
                        </m:d>
                      </m:e>
                    </m:d>
                  </m:e>
                </m:d>
                <m:r>
                  <m:rPr>
                    <m:sty m:val="p"/>
                  </m:rPr>
                  <m:t>−</m:t>
                </m:r>
                <m:r>
                  <m:t>1</m:t>
                </m:r>
              </m:oMath>
            </m:oMathPara>
          </w:p>
        </w:tc>
        <w:tc>
          <w:tcPr/>
          <w:p>
            <w:pPr>
              <w:pStyle w:val="Compact"/>
            </w:pPr>
            <w:r>
              <w:t xml:space="preserve">(21S)</w:t>
            </w:r>
          </w:p>
        </w:tc>
      </w:tr>
    </w:tbl>
    <w:p>
      <w:pPr>
        <w:pStyle w:val="BodyText"/>
      </w:pPr>
      <w:r>
        <w:t xml:space="preserve">where y and</w:t>
      </w:r>
      <w:r>
        <w:t xml:space="preserve"> </w:t>
      </w:r>
      <m:oMath>
        <m:acc>
          <m:accPr>
            <m:chr m:val="̂"/>
          </m:accPr>
          <m:e>
            <m:r>
              <m:t>y</m:t>
            </m:r>
          </m:e>
        </m:acc>
      </m:oMath>
      <w:r>
        <w:t xml:space="preserve"> </w:t>
      </w:r>
      <w:r>
        <w:t xml:space="preserve">are the target LTMP data and modelled outputs respectively.</w:t>
      </w:r>
    </w:p>
    <w:p>
      <w:pPr>
        <w:pStyle w:val="BodyText"/>
      </w:pPr>
      <w:r>
        <w:t xml:space="preserve">Furthermore, the years where minimum and maximum levels of coral cover were recorded were weighted by a factor of two to encourage the calibration to capture this trend in the target data.</w:t>
      </w:r>
    </w:p>
    <w:p>
      <w:pPr>
        <w:pStyle w:val="BodyText"/>
      </w:pPr>
      <w:r>
        <w:t xml:space="preserve">The objective function considers the temporal variability of MAEE to ensure the mean error between observed LTMP estimates and modelled coral cover are both minimized and not highly variable over time. The temporal variability of MAEE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μ</m:t>
                    </m:r>
                  </m:e>
                  <m:sub>
                    <m:r>
                      <m:t>t</m:t>
                    </m:r>
                  </m:sub>
                </m:sSub>
                <m:d>
                  <m:dPr>
                    <m:begChr m:val="("/>
                    <m:sepChr m:val=""/>
                    <m:endChr m:val=")"/>
                    <m:grow/>
                  </m:dPr>
                  <m:e>
                    <m:sSub>
                      <m:e>
                        <m:r>
                          <m:t>M</m:t>
                        </m:r>
                        <m:r>
                          <m:t>A</m:t>
                        </m:r>
                        <m:r>
                          <m:t>E</m:t>
                        </m:r>
                        <m:r>
                          <m:t>E</m:t>
                        </m:r>
                      </m:e>
                      <m:sub>
                        <m:r>
                          <m:t>t</m:t>
                        </m:r>
                      </m:sub>
                    </m:sSub>
                  </m:e>
                </m:d>
                <m:r>
                  <m:rPr>
                    <m:sty m:val="p"/>
                  </m:rPr>
                  <m:t>⋅</m:t>
                </m:r>
                <m:r>
                  <m:t>0.9</m:t>
                </m:r>
                <m:r>
                  <m:rPr>
                    <m:sty m:val="p"/>
                  </m:rPr>
                  <m:t>+</m:t>
                </m:r>
                <m:sSub>
                  <m:e>
                    <m:r>
                      <m:t>σ</m:t>
                    </m:r>
                  </m:e>
                  <m:sub>
                    <m:r>
                      <m:t>t</m:t>
                    </m:r>
                  </m:sub>
                </m:sSub>
                <m:d>
                  <m:dPr>
                    <m:begChr m:val="("/>
                    <m:sepChr m:val=""/>
                    <m:endChr m:val=")"/>
                    <m:grow/>
                  </m:dPr>
                  <m:e>
                    <m:sSub>
                      <m:e>
                        <m:r>
                          <m:t>M</m:t>
                        </m:r>
                        <m:r>
                          <m:t>A</m:t>
                        </m:r>
                        <m:r>
                          <m:t>E</m:t>
                        </m:r>
                        <m:r>
                          <m:t>E</m:t>
                        </m:r>
                      </m:e>
                      <m:sub>
                        <m:r>
                          <m:t>t</m:t>
                        </m:r>
                      </m:sub>
                    </m:sSub>
                  </m:e>
                </m:d>
                <m:r>
                  <m:rPr>
                    <m:sty m:val="p"/>
                  </m:rPr>
                  <m:t>⋅</m:t>
                </m:r>
                <m:r>
                  <m:t>0.1</m:t>
                </m:r>
              </m:oMath>
            </m:oMathPara>
          </w:p>
        </w:tc>
        <w:tc>
          <w:tcPr/>
          <w:p>
            <w:pPr>
              <w:pStyle w:val="Compact"/>
            </w:pPr>
            <w:r>
              <w:t xml:space="preserve">(22S)</w:t>
            </w:r>
          </w:p>
        </w:tc>
      </w:tr>
    </w:tbl>
    <w:p>
      <w:pPr>
        <w:pStyle w:val="BodyText"/>
      </w:pPr>
      <w:r>
        <w:t xml:space="preserve">where</w:t>
      </w:r>
      <w:r>
        <w:t xml:space="preserve"> </w:t>
      </w:r>
      <m:oMath>
        <m:sSub>
          <m:e>
            <m:r>
              <m:t>μ</m:t>
            </m:r>
          </m:e>
          <m:sub>
            <m:r>
              <m:t>t</m:t>
            </m:r>
          </m:sub>
        </m:sSub>
      </m:oMath>
      <w:r>
        <w:t xml:space="preserve"> </w:t>
      </w:r>
      <w:r>
        <w:t xml:space="preserve">and</w:t>
      </w:r>
      <w:r>
        <w:t xml:space="preserve"> </w:t>
      </w:r>
      <m:oMath>
        <m:sSub>
          <m:e>
            <m:r>
              <m:t>σ</m:t>
            </m:r>
          </m:e>
          <m:sub>
            <m:r>
              <m:t>t</m:t>
            </m:r>
          </m:sub>
        </m:sSub>
      </m:oMath>
      <w:r>
        <w:t xml:space="preserve"> </w:t>
      </w:r>
      <w:r>
        <w:t xml:space="preserve">are the mean and standard deviation functions taken over timesteps.</w:t>
      </w:r>
    </w:p>
    <w:p>
      <w:pPr>
        <w:pStyle w:val="BodyText"/>
      </w:pPr>
      <w:r>
        <w:t xml:space="preserve">Modelled coral composition data derived from LTMP photogrammetry data was used to inform the initial coral composition and data at specific locations and as the target coral composition for subsequent historic years. Coral composition data was not recorded at all locations where manta tow coral cover levels are recorded. To account for the misalignment between Manta Tow observations and modelled coral composition cover values, Pearson’s Correlation Coefficient was incorporated in the objective function to match ADRIA-mod’s modelled coral composition to observations. The assumption being that coral composition at fixed site photogrammetry observations are representative of coral composition at manta tow locations, whilst this is not true, it is a limitation provided by a lack of data. The Coral Composition Error (CCE) was calculated for each timestep where data was available as follows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CCE</m:t>
                    </m:r>
                  </m:e>
                  <m:sub>
                    <m:r>
                      <m:t>t</m:t>
                    </m:r>
                  </m:sub>
                </m:sSub>
                <m:r>
                  <m:rPr>
                    <m:sty m:val="p"/>
                  </m:rPr>
                  <m:t>=</m:t>
                </m:r>
                <m:r>
                  <m:t>1</m:t>
                </m:r>
                <m:r>
                  <m:rPr>
                    <m:sty m:val="p"/>
                  </m:rPr>
                  <m:t>−</m:t>
                </m:r>
                <m:r>
                  <m:t>c</m:t>
                </m:r>
                <m:r>
                  <m:t>o</m:t>
                </m:r>
                <m:r>
                  <m:t>r</m:t>
                </m:r>
                <m:d>
                  <m:dPr>
                    <m:begChr m:val="("/>
                    <m:sepChr m:val=""/>
                    <m:endChr m:val=")"/>
                    <m:grow/>
                  </m:dPr>
                  <m:e>
                    <m:r>
                      <m:t>y</m:t>
                    </m:r>
                    <m:r>
                      <m:rPr>
                        <m:sty m:val="p"/>
                      </m:rPr>
                      <m:t>,</m:t>
                    </m:r>
                    <m:acc>
                      <m:accPr>
                        <m:chr m:val="̂"/>
                      </m:accPr>
                      <m:e>
                        <m:r>
                          <m:t>y</m:t>
                        </m:r>
                      </m:e>
                    </m:acc>
                  </m:e>
                </m:d>
              </m:oMath>
            </m:oMathPara>
          </w:p>
        </w:tc>
        <w:tc>
          <w:tcPr/>
          <w:p>
            <w:pPr>
              <w:pStyle w:val="Compact"/>
            </w:pPr>
            <w:r>
              <w:t xml:space="preserve">(23S)</w:t>
            </w:r>
          </w:p>
        </w:tc>
      </w:tr>
    </w:tbl>
    <w:p>
      <w:pPr>
        <w:pStyle w:val="BodyText"/>
      </w:pPr>
      <w:r>
        <w:t xml:space="preserve">Finally, emphasis is placed on minimizing error on the beginning and end of calibration data as well as the peaks and the troughs of calibration data. Given that the ecological model is relatively simple, the objective function should prioritize matching the overall trend of calibration data. The calibration error at these characteristics points is calculated using mean absolute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p</m:t>
                    </m:r>
                  </m:sub>
                </m:sSub>
                <m:r>
                  <m:rPr>
                    <m:sty m:val="p"/>
                  </m:rPr>
                  <m:t>=</m:t>
                </m:r>
                <m:sSub>
                  <m:e>
                    <m:r>
                      <m:t>μ</m:t>
                    </m:r>
                  </m:e>
                  <m:sub>
                    <m:r>
                      <m:t>p</m:t>
                    </m:r>
                  </m:sub>
                </m:sSub>
                <m:d>
                  <m:dPr>
                    <m:begChr m:val="("/>
                    <m:sepChr m:val=""/>
                    <m:endChr m:val=")"/>
                    <m:grow/>
                  </m:dPr>
                  <m:e>
                    <m:d>
                      <m:dPr>
                        <m:begChr m:val="|"/>
                        <m:sepChr m:val=""/>
                        <m:endChr m:val="|"/>
                        <m:grow/>
                      </m:dPr>
                      <m:e>
                        <m:acc>
                          <m:accPr>
                            <m:chr m:val="̂"/>
                          </m:accPr>
                          <m:e>
                            <m:r>
                              <m:t>y</m:t>
                            </m:r>
                          </m:e>
                        </m:acc>
                        <m:r>
                          <m:rPr>
                            <m:sty m:val="p"/>
                          </m:rPr>
                          <m:t>−</m:t>
                        </m:r>
                        <m:r>
                          <m:t>y</m:t>
                        </m:r>
                      </m:e>
                    </m:d>
                  </m:e>
                </m:d>
              </m:oMath>
            </m:oMathPara>
          </w:p>
        </w:tc>
        <w:tc>
          <w:tcPr/>
          <w:p>
            <w:pPr>
              <w:pStyle w:val="Compact"/>
            </w:pPr>
            <w:r>
              <w:t xml:space="preserve">(24S)</w:t>
            </w:r>
          </w:p>
        </w:tc>
      </w:tr>
    </w:tbl>
    <w:p>
      <w:pPr>
        <w:pStyle w:val="BodyText"/>
      </w:pPr>
      <w:r>
        <w:t xml:space="preserve">where</w:t>
      </w:r>
      <w:r>
        <w:t xml:space="preserve"> </w:t>
      </w:r>
      <m:oMath>
        <m:sSub>
          <m:e>
            <m:r>
              <m:t>μ</m:t>
            </m:r>
          </m:e>
          <m:sub>
            <m:r>
              <m:t>p</m:t>
            </m:r>
          </m:sub>
        </m:sSub>
      </m:oMath>
      <w:r>
        <w:t xml:space="preserve"> </w:t>
      </w:r>
      <w:r>
        <w:t xml:space="preserve">is the mean function over all peaks, troughs, beginning and ending timesteps.</w:t>
      </w:r>
    </w:p>
    <w:p>
      <w:pPr>
        <w:pStyle w:val="BodyText"/>
      </w:pPr>
      <w:r>
        <w:t xml:space="preserve">Finally, the objective function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w</m:t>
                    </m:r>
                  </m:e>
                  <m:sub>
                    <m:r>
                      <m:t>1</m:t>
                    </m:r>
                  </m:sub>
                </m:sSub>
                <m:r>
                  <m:rPr>
                    <m:sty m:val="p"/>
                  </m:rPr>
                  <m:t>+</m:t>
                </m:r>
                <m:sSub>
                  <m:e>
                    <m:r>
                      <m:rPr>
                        <m:nor/>
                        <m:sty m:val="p"/>
                      </m:rPr>
                      <m:t>CCE</m:t>
                    </m:r>
                  </m:e>
                  <m:sub>
                    <m:r>
                      <m:t>t</m:t>
                    </m:r>
                  </m:sub>
                </m:sSub>
                <m:r>
                  <m:rPr>
                    <m:sty m:val="p"/>
                  </m:rPr>
                  <m:t>⋅</m:t>
                </m:r>
                <m:sSub>
                  <m:e>
                    <m:r>
                      <m:t>w</m:t>
                    </m:r>
                  </m:e>
                  <m:sub>
                    <m:r>
                      <m:t>c</m:t>
                    </m:r>
                  </m:sub>
                </m:sSub>
                <m:r>
                  <m:rPr>
                    <m:sty m:val="p"/>
                  </m:rPr>
                  <m:t>+</m:t>
                </m:r>
                <m:r>
                  <m:t>E</m:t>
                </m:r>
                <m:r>
                  <m:t>r</m:t>
                </m:r>
                <m:sSub>
                  <m:e>
                    <m:r>
                      <m:t>r</m:t>
                    </m:r>
                  </m:e>
                  <m:sub>
                    <m:r>
                      <m:t>p</m:t>
                    </m:r>
                  </m:sub>
                </m:sSub>
                <m:r>
                  <m:rPr>
                    <m:sty m:val="p"/>
                  </m:rPr>
                  <m:t>⋅</m:t>
                </m:r>
                <m:sSub>
                  <m:e>
                    <m:r>
                      <m:t>w</m:t>
                    </m:r>
                  </m:e>
                  <m:sub>
                    <m:r>
                      <m:t>p</m:t>
                    </m:r>
                  </m:sub>
                </m:sSub>
              </m:oMath>
            </m:oMathPara>
          </w:p>
        </w:tc>
        <w:tc>
          <w:tcPr/>
          <w:p>
            <w:pPr>
              <w:pStyle w:val="Compact"/>
            </w:pPr>
            <w:r>
              <w:t xml:space="preserve">(25S)</w:t>
            </w:r>
          </w:p>
        </w:tc>
      </w:tr>
    </w:tbl>
    <w:p>
      <w:pPr>
        <w:pStyle w:val="BodyText"/>
      </w:pPr>
      <w:r>
        <w:t xml:space="preserve">where</w:t>
      </w:r>
      <w:r>
        <w:t xml:space="preserve"> </w:t>
      </w:r>
      <m:oMath>
        <m:sSub>
          <m:e>
            <m:r>
              <m:t>w</m:t>
            </m:r>
          </m:e>
          <m:sub>
            <m:r>
              <m:t>1</m:t>
            </m:r>
          </m:sub>
        </m:sSub>
        <m:r>
          <m:rPr>
            <m:sty m:val="p"/>
          </m:rPr>
          <m:t>,</m:t>
        </m:r>
        <m:sSub>
          <m:e>
            <m:r>
              <m:t>w</m:t>
            </m:r>
          </m:e>
          <m:sub>
            <m:r>
              <m:t>c</m:t>
            </m:r>
          </m:sub>
        </m:sSub>
        <m:r>
          <m:rPr>
            <m:sty m:val="p"/>
          </m:rPr>
          <m:t>,</m:t>
        </m:r>
      </m:oMath>
      <w:r>
        <w:t xml:space="preserve"> </w:t>
      </w:r>
      <w:r>
        <w:t xml:space="preserve">and</w:t>
      </w:r>
      <w:r>
        <w:t xml:space="preserve"> </w:t>
      </w:r>
      <m:oMath>
        <m:sSub>
          <m:e>
            <m:r>
              <m:t>w</m:t>
            </m:r>
          </m:e>
          <m:sub>
            <m:r>
              <m:t>p</m:t>
            </m:r>
          </m:sub>
        </m:sSub>
      </m:oMath>
      <w:r>
        <w:t xml:space="preserve"> </w:t>
      </w:r>
      <w:r>
        <w:t xml:space="preserve">are the weights given to each part of the objective function and are 1, 2, and 2 respectively.</w:t>
      </w:r>
    </w:p>
    <w:bookmarkEnd w:id="223"/>
    <w:bookmarkStart w:id="227" w:name="disturbances-datasets"/>
    <w:p>
      <w:pPr>
        <w:pStyle w:val="Heading3"/>
      </w:pPr>
      <w:r>
        <w:t xml:space="preserve">7.5.3 Disturbances datasets</w:t>
      </w:r>
    </w:p>
    <w:p>
      <w:pPr>
        <w:pStyle w:val="FirstParagraph"/>
      </w:pPr>
      <w:r>
        <w:t xml:space="preserve">To account for heat stress mortality, we used a historical DHW dataset, derived from observed maximum Degree Heating Weeks (DHWs) data provided by NOAA’s CoralTempv3.1 product</w:t>
      </w:r>
      <w:r>
        <w:t xml:space="preserve"> </w:t>
      </w:r>
      <w:r>
        <w:t xml:space="preserve">(78, 79)</w:t>
      </w:r>
      <w:r>
        <w:t xml:space="preserve"> </w:t>
      </w:r>
      <w:r>
        <w:t xml:space="preserve">for each year and reef (</w:t>
      </w:r>
      <w:r>
        <w:rPr>
          <w:b/>
          <w:bCs/>
        </w:rPr>
        <w:t xml:space="preserve">Figure S2</w:t>
      </w:r>
      <w:r>
        <w:t xml:space="preserve">). To account for cyclone/storm and COTS mortality, we derived a separate mortality dataset from LTMP disturbance records (year and type of disturbance) with coral cover and benthic composition data. Because coral cover grows naturally between surveys, survival was calculated against a counterfactual undisturbed growth projection of the pre-disturbance cover. This background growth rate was estimated once from each reef’s total cover, then split into per functional group mortality rates using benthic composition data. Locations with disturbances flagged as</w:t>
      </w:r>
      <w:r>
        <w:t xml:space="preserve"> </w:t>
      </w:r>
      <w:r>
        <w:t xml:space="preserve">“unknown”</w:t>
      </w:r>
      <w:r>
        <w:t xml:space="preserve"> </w:t>
      </w:r>
      <w:r>
        <w:t xml:space="preserve">were not included in this mortality-rate calculation.</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5" name="Picture"/>
            <a:graphic>
              <a:graphicData uri="http://schemas.openxmlformats.org/drawingml/2006/picture">
                <pic:pic>
                  <pic:nvPicPr>
                    <pic:cNvPr descr="../figures/S02_dhw_per_reef_group.png" id="226" name="Picture"/>
                    <pic:cNvPicPr>
                      <a:picLocks noChangeArrowheads="1" noChangeAspect="1"/>
                    </pic:cNvPicPr>
                  </pic:nvPicPr>
                  <pic:blipFill>
                    <a:blip r:embed="rId224"/>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7"/>
    <w:bookmarkStart w:id="231" w:name="depth-attenuation-of-dhw"/>
    <w:p>
      <w:pPr>
        <w:pStyle w:val="Heading3"/>
      </w:pPr>
      <w:r>
        <w:t xml:space="preserve">7.5.4 Depth attenuation of DHW</w:t>
      </w:r>
    </w:p>
    <w:p>
      <w:pPr>
        <w:pStyle w:val="FirstParagraph"/>
      </w:pPr>
      <w:r>
        <w:t xml:space="preserve">The calibrated</w:t>
      </w:r>
      <w:r>
        <w:t xml:space="preserve"> </w:t>
      </w:r>
      <m:oMath>
        <m:sSup>
          <m:e>
            <m:r>
              <m:t>η</m:t>
            </m:r>
          </m:e>
          <m:sup>
            <m:r>
              <m:t>b</m:t>
            </m:r>
            <m:r>
              <m:t>a</m:t>
            </m:r>
            <m:r>
              <m:t>s</m:t>
            </m:r>
            <m:r>
              <m:t>e</m:t>
            </m:r>
          </m:sup>
        </m:sSup>
      </m:oMath>
      <w:r>
        <w:t xml:space="preserve"> </w:t>
      </w:r>
      <w:r>
        <w:t xml:space="preserve">and</w:t>
      </w:r>
      <w:r>
        <w:t xml:space="preserve"> </w:t>
      </w:r>
      <m:oMath>
        <m:sSup>
          <m:e>
            <m:r>
              <m:t>η</m:t>
            </m:r>
          </m:e>
          <m:sup>
            <m:r>
              <m:t>m</m:t>
            </m:r>
            <m:r>
              <m:t>i</m:t>
            </m:r>
            <m:r>
              <m:t>x</m:t>
            </m:r>
          </m:sup>
        </m:sSup>
      </m:oMath>
      <w:r>
        <w:t xml:space="preserve"> </w:t>
      </w:r>
      <w:r>
        <w:t xml:space="preserve">values determine how the effective DHW at depth (equation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base} and \eta^{mix} values. The dotted line shows the 1:1 reference (no attenuation, i.e. surface conditions)." title="" id="229" name="Picture"/>
            <a:graphic>
              <a:graphicData uri="http://schemas.openxmlformats.org/drawingml/2006/picture">
                <pic:pic>
                  <pic:nvPicPr>
                    <pic:cNvPr descr="../figures/S03_effective_dhw_depth_attenuation.png" id="230" name="Picture"/>
                    <pic:cNvPicPr>
                      <a:picLocks noChangeArrowheads="1" noChangeAspect="1"/>
                    </pic:cNvPicPr>
                  </pic:nvPicPr>
                  <pic:blipFill>
                    <a:blip r:embed="rId228"/>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t>b</m:t>
            </m:r>
            <m:r>
              <m:t>a</m:t>
            </m:r>
            <m:r>
              <m:t>s</m:t>
            </m:r>
            <m:r>
              <m:t>e</m:t>
            </m:r>
          </m:sup>
        </m:sSup>
      </m:oMath>
      <w:r>
        <w:rPr>
          <w:b/>
          <w:bCs/>
        </w:rPr>
        <w:t xml:space="preserve"> </w:t>
      </w:r>
      <w:r>
        <w:rPr>
          <w:b/>
          <w:bCs/>
        </w:rPr>
        <w:t xml:space="preserve">and</w:t>
      </w:r>
      <w:r>
        <w:rPr>
          <w:b/>
          <w:bCs/>
        </w:rPr>
        <w:t xml:space="preserve"> </w:t>
      </w:r>
      <m:oMath>
        <m:sSup>
          <m:e>
            <m:r>
              <m:t>η</m:t>
            </m:r>
          </m:e>
          <m:sup>
            <m:r>
              <m:t>m</m:t>
            </m:r>
            <m:r>
              <m:t>i</m:t>
            </m:r>
            <m:r>
              <m:t>x</m:t>
            </m:r>
          </m:sup>
        </m:sSup>
      </m:oMath>
      <w:r>
        <w:rPr>
          <w:b/>
          <w:bCs/>
        </w:rPr>
        <w:t xml:space="preserve"> </w:t>
      </w:r>
      <w:r>
        <w:rPr>
          <w:b/>
          <w:bCs/>
        </w:rPr>
        <w:t xml:space="preserve">values.</w:t>
      </w:r>
      <w:r>
        <w:t xml:space="preserve"> </w:t>
      </w:r>
      <w:r>
        <w:t xml:space="preserve">The dotted line shows the 1:1 reference (no attenuation, i.e. surface conditions).</w:t>
      </w:r>
    </w:p>
    <w:bookmarkEnd w:id="231"/>
    <w:bookmarkEnd w:id="232"/>
    <w:bookmarkStart w:id="236"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4" name="Picture"/>
            <a:graphic>
              <a:graphicData uri="http://schemas.openxmlformats.org/drawingml/2006/picture">
                <pic:pic>
                  <pic:nvPicPr>
                    <pic:cNvPr descr="media/image9.png" id="235" name="Picture"/>
                    <pic:cNvPicPr>
                      <a:picLocks noChangeArrowheads="1" noChangeAspect="1"/>
                    </pic:cNvPicPr>
                  </pic:nvPicPr>
                  <pic:blipFill>
                    <a:blip r:embed="rId233"/>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6"/>
    <w:bookmarkEnd w:id="237"/>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9" Target="media/rId219.png" /><Relationship Type="http://schemas.openxmlformats.org/officeDocument/2006/relationships/image" Id="rId233" Target="media/rId233.png" /><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2026-08-19T06:07:44Z</dcterms:created>
  <dcterms:modified xsi:type="dcterms:W3CDTF">2026-08-19T06:07:44Z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