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bootstrapped median RMSE, ΔRMSE, SRCC and bias for calibration and test reefs, with 95% confidence intervals. Median bias was -0.01 [-0.02, -0.0] for calibration reefs and -0.01 [-0.03, 0.02] for test reefs. Since roughly as many reefs are overpredicted as underpredicted, this signed median is close to zero even though individual reefs can have a substantial bias in either direction; Table S1 therefore also reports the mean absolute bias (0.04 [0.03, 0.04] for calibration reefs and 0.04 [0.03, 0.05] for test reefs), which better reflects the magnitude of a typical reef’s directional error.</w:t>
      </w:r>
    </w:p>
    <w:p>
      <w:pPr>
        <w:pStyle w:val="BodyText"/>
      </w:pPr>
      <w:r>
        <w:t xml:space="preserve">Table S2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5394960" cy="6429237"/>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 \mathbf{\Delta RMSE}, 0.02 [0.01, 0.04], for test reefs \mathbf{\Delta RMSE}, 0.02 [-0.0, 0.05], for calibration reefs \mathbf{SRCC}, 0.77 [0.7, 0.82], and for test reefs SRCC, 0.82 [0.55,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5394960" cy="6429237"/>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[0.01, 0.04], for test reefs</w:t>
      </w:r>
      <w:r>
        <w:t xml:space="preserve"> </w:t>
      </w:r>
      <m:oMath>
        <m:r>
          <m:rPr>
            <m:sty m:val="b"/>
          </m:rPr>
          <m:t>Δ</m:t>
        </m:r>
        <m:r>
          <m:rPr>
            <m:sty m:val="b"/>
          </m:rPr>
          <m:t>R</m:t>
        </m:r>
        <m:r>
          <m:rPr>
            <m:sty m:val="b"/>
          </m:rPr>
          <m:t>M</m:t>
        </m:r>
        <m:r>
          <m:rPr>
            <m:sty m:val="b"/>
          </m:rPr>
          <m:t>S</m:t>
        </m:r>
        <m:r>
          <m:rPr>
            <m:sty m:val="b"/>
          </m:rPr>
          <m:t>E</m:t>
        </m:r>
      </m:oMath>
      <w:r>
        <w:t xml:space="preserve">, 0.02 [-0.0, 0.05], for calibration reefs</w:t>
      </w:r>
      <w:r>
        <w:t xml:space="preserve"> </w:t>
      </w:r>
      <m:oMath>
        <m:r>
          <m:rPr>
            <m:sty m:val="b"/>
          </m:rPr>
          <m:t>S</m:t>
        </m:r>
        <m:r>
          <m:rPr>
            <m:sty m:val="b"/>
          </m:rPr>
          <m:t>R</m:t>
        </m:r>
        <m:r>
          <m:rPr>
            <m:sty m:val="b"/>
          </m:rPr>
          <m:t>C</m:t>
        </m:r>
        <m:r>
          <m:rPr>
            <m:sty m:val="b"/>
          </m:rPr>
          <m:t>C</m:t>
        </m:r>
      </m:oMath>
      <w:r>
        <w:t xml:space="preserve">, 0.77 [0.7, 0.82], and for test reefs SRCC, 0.82 [0.55,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(the two with the lowest and two with the highest ΔRMSE)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McCulloch Reef (No 1) (17-016a): Model RMSE = 0.08, Benchmark RMSE = 0.03, ΔRMSE = -0.06, SRCC = -0.2, Bias = 0.07; (B) Low Islands Reef (16-028): Model RMSE = 0.15, Benchmark RMSE = 0.1, ΔRMSE = -0.05, SRCC = 0.0, Bias = -0.08; (C) Rebe Reef (19-209): Model RMSE = 0.11, Benchmark RMSE = 0.23, ΔRMSE = 0.12, SRCC = 1.0, Bias = -0.05; (D) Ben Reef (20-113): 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McCulloch Reef (No 1) (17-016a):</w:t>
      </w:r>
      <w:r>
        <w:t xml:space="preserve"> </w:t>
      </w:r>
      <w:r>
        <w:t xml:space="preserve">Model RMSE = 0.08, Benchmark RMSE = 0.03, ΔRMSE = -0.06, SRCC = -0.2, Bias = 0.07; (</w:t>
      </w:r>
      <w:r>
        <w:rPr>
          <w:b/>
          <w:bCs/>
        </w:rPr>
        <w:t xml:space="preserve">B</w:t>
      </w:r>
      <w:r>
        <w:t xml:space="preserve">)</w:t>
      </w:r>
      <w:r>
        <w:t xml:space="preserve"> </w:t>
      </w:r>
      <w:r>
        <w:rPr>
          <w:b/>
          <w:bCs/>
        </w:rPr>
        <w:t xml:space="preserve">Low Islands Reef (16-028):</w:t>
      </w:r>
      <w:r>
        <w:t xml:space="preserve"> </w:t>
      </w:r>
      <w:r>
        <w:t xml:space="preserve">Model RMSE = 0.15, Benchmark RMSE = 0.1, ΔRMSE = -0.05, SRCC = 0.0, Bias = -0.08; (</w:t>
      </w:r>
      <w:r>
        <w:rPr>
          <w:b/>
          <w:bCs/>
        </w:rPr>
        <w:t xml:space="preserve">C</w:t>
      </w:r>
      <w:r>
        <w:t xml:space="preserve">)</w:t>
      </w:r>
      <w:r>
        <w:t xml:space="preserve"> </w:t>
      </w:r>
      <w:r>
        <w:rPr>
          <w:b/>
          <w:bCs/>
        </w:rPr>
        <w:t xml:space="preserve">Rebe Reef (19-209):</w:t>
      </w:r>
      <w:r>
        <w:t xml:space="preserve"> </w:t>
      </w:r>
      <w:r>
        <w:t xml:space="preserve">Model RMSE = 0.11, Benchmark RMSE = 0.23, ΔRMSE = 0.12, SRCC = 1.0, Bias = -0.05; (</w:t>
      </w:r>
      <w:r>
        <w:rPr>
          <w:b/>
          <w:bCs/>
        </w:rPr>
        <w:t xml:space="preserve">D</w:t>
      </w:r>
      <w:r>
        <w:t xml:space="preserve">)</w:t>
      </w:r>
      <w:r>
        <w:t xml:space="preserve"> </w:t>
      </w:r>
      <w:r>
        <w:rPr>
          <w:b/>
          <w:bCs/>
        </w:rPr>
        <w:t xml:space="preserve">Ben Reef (20-113):</w:t>
      </w:r>
      <w:r>
        <w:t xml:space="preserve"> </w:t>
      </w:r>
      <w:r>
        <w:t xml:space="preserve">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 This is reflected in the bias metrics reported in Table S1: CoralBlox is intended to give a good indication of regional coral cover dynamics rather than to precisely predict any individual reef’s trajectory, so the near-zero signed median bias is relevant at the regional scale, while the larger mean absolute bias reflects the expected margin of error at the individual reef scale.</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three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ii) the Spearman Rank Correlation Coefficient (SRCC) between observed and modelled relative coral cover, and iii) the bias,</w:t>
      </w:r>
      <w:r>
        <w:t xml:space="preserve"> </w:t>
      </w:r>
      <m:oMath>
        <m:r>
          <m:t>b</m:t>
        </m:r>
        <m:r>
          <m:t>i</m:t>
        </m:r>
        <m:r>
          <m:t>a</m:t>
        </m:r>
        <m:r>
          <m:t>s</m:t>
        </m:r>
        <m:r>
          <m:rPr>
            <m:sty m:val="p"/>
          </m:rPr>
          <m:t>=</m:t>
        </m:r>
        <m:r>
          <m:t>m</m:t>
        </m:r>
        <m:r>
          <m:t>e</m:t>
        </m:r>
        <m:r>
          <m:t>a</m:t>
        </m:r>
        <m:r>
          <m:t>n</m:t>
        </m:r>
        <m:d>
          <m:dPr>
            <m:begChr m:val="("/>
            <m:sepChr m:val=""/>
            <m:endChr m:val=")"/>
            <m:grow/>
          </m:dPr>
          <m:e>
            <m:acc>
              <m:accPr>
                <m:chr m:val="̂"/>
              </m:accPr>
              <m:e>
                <m:r>
                  <m:t>y</m:t>
                </m:r>
              </m:e>
            </m:acc>
            <m:r>
              <m:rPr>
                <m:sty m:val="p"/>
              </m:rPr>
              <m:t>−</m:t>
            </m:r>
            <m:r>
              <m:t>y</m:t>
            </m:r>
          </m:e>
        </m:d>
      </m:oMath>
      <w:r>
        <w:t xml:space="preserve">. Positive ΔRMSE values indicate reefs where CoralBlox outperforms the benchmark. SRCC values provide an indication of alignment in trends between simulation and observations. Positive bias values indicate CoralBlox overpredicts coral cover on average, negative values indicate underprediction.</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SRCC and bias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median performance metrics and 95% confidence intervals for calibration and test reefs.</w:t>
      </w:r>
    </w:p>
    <w:tbl>
      <w:tblPr>
        <w:tblStyle w:val="Table"/>
        <w:tblW w:type="auto" w:w="0"/>
        <w:tblLook w:firstRow="1" w:lastRow="0" w:firstColumn="0" w:lastColumn="0" w:noHBand="0" w:noVBand="0" w:val="0020"/>
        <w:tblCaption w:val="Table S1.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0.09]</w:t>
            </w:r>
          </w:p>
        </w:tc>
      </w:tr>
      <w:tr>
        <w:tc>
          <w:tcPr/>
          <w:p>
            <w:pPr>
              <w:pStyle w:val="Compact"/>
              <w:jc w:val="left"/>
            </w:pPr>
            <w:r>
              <w:t xml:space="preserve">ΔRMSE</w:t>
            </w:r>
          </w:p>
        </w:tc>
        <w:tc>
          <w:tcPr/>
          <w:p>
            <w:pPr>
              <w:pStyle w:val="Compact"/>
              <w:jc w:val="left"/>
            </w:pPr>
            <w:r>
              <w:t xml:space="preserve">0.02 [0.01, 0.04]</w:t>
            </w:r>
          </w:p>
        </w:tc>
        <w:tc>
          <w:tcPr/>
          <w:p>
            <w:pPr>
              <w:pStyle w:val="Compact"/>
              <w:jc w:val="left"/>
            </w:pPr>
            <w:r>
              <w:t xml:space="preserve">0.02 [-0.0, 0.05]</w:t>
            </w:r>
          </w:p>
        </w:tc>
      </w:tr>
      <w:tr>
        <w:tc>
          <w:tcPr/>
          <w:p>
            <w:pPr>
              <w:pStyle w:val="Compact"/>
              <w:jc w:val="left"/>
            </w:pPr>
            <w:r>
              <w:t xml:space="preserve">SRCC</w:t>
            </w:r>
          </w:p>
        </w:tc>
        <w:tc>
          <w:tcPr/>
          <w:p>
            <w:pPr>
              <w:pStyle w:val="Compact"/>
              <w:jc w:val="left"/>
            </w:pPr>
            <w:r>
              <w:t xml:space="preserve">0.77 [0.7, 0.82]</w:t>
            </w:r>
          </w:p>
        </w:tc>
        <w:tc>
          <w:tcPr/>
          <w:p>
            <w:pPr>
              <w:pStyle w:val="Compact"/>
              <w:jc w:val="left"/>
            </w:pPr>
            <w:r>
              <w:t xml:space="preserve">0.82 [0.55, 0.89]</w:t>
            </w:r>
          </w:p>
        </w:tc>
      </w:tr>
      <w:tr>
        <w:tc>
          <w:tcPr/>
          <w:p>
            <w:pPr>
              <w:pStyle w:val="Compact"/>
              <w:jc w:val="left"/>
            </w:pPr>
            <w:r>
              <w:t xml:space="preserve">Bias</w:t>
            </w:r>
          </w:p>
        </w:tc>
        <w:tc>
          <w:tcPr/>
          <w:p>
            <w:pPr>
              <w:pStyle w:val="Compact"/>
              <w:jc w:val="left"/>
            </w:pPr>
            <w:r>
              <w:t xml:space="preserve">-0.01 [-0.02, -0.0]</w:t>
            </w:r>
          </w:p>
        </w:tc>
        <w:tc>
          <w:tcPr/>
          <w:p>
            <w:pPr>
              <w:pStyle w:val="Compact"/>
              <w:jc w:val="left"/>
            </w:pPr>
            <w:r>
              <w:t xml:space="preserve">-0.01 [-0.03, 0.02]</w:t>
            </w:r>
          </w:p>
        </w:tc>
      </w:tr>
      <w:tr>
        <w:tc>
          <w:tcPr/>
          <w:p>
            <w:pPr>
              <w:pStyle w:val="Compact"/>
              <w:jc w:val="left"/>
            </w:pPr>
            <w:r>
              <w:t xml:space="preserve">Mean |Bias|</w:t>
            </w:r>
          </w:p>
        </w:tc>
        <w:tc>
          <w:tcPr/>
          <w:p>
            <w:pPr>
              <w:pStyle w:val="Compact"/>
              <w:jc w:val="left"/>
            </w:pPr>
            <w:r>
              <w:t xml:space="preserve">0.04 [0.03, 0.04]</w:t>
            </w:r>
          </w:p>
        </w:tc>
        <w:tc>
          <w:tcPr/>
          <w:p>
            <w:pPr>
              <w:pStyle w:val="Compact"/>
              <w:jc w:val="left"/>
            </w:pPr>
            <w:r>
              <w:t xml:space="preserve">0.04 [0.03, 0.05]</w:t>
            </w:r>
          </w:p>
        </w:tc>
      </w:tr>
    </w:tbl>
    <w:p>
      <w:pPr>
        <w:pStyle w:val="BodyText"/>
      </w:pPr>
      <w:r>
        <w:t xml:space="preserve"> </w:t>
      </w:r>
    </w:p>
    <w:p>
      <w:pPr>
        <w:pStyle w:val="TableCaption"/>
      </w:pPr>
      <w:r>
        <w:rPr>
          <w:b/>
          <w:bCs/>
        </w:rPr>
        <w:t xml:space="preserve">Table S2.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2.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0.38 [0.19, 0.6]</w:t>
            </w:r>
          </w:p>
        </w:tc>
        <w:tc>
          <w:tcPr/>
          <w:p>
            <w:pPr>
              <w:pStyle w:val="Compact"/>
              <w:jc w:val="left"/>
            </w:pPr>
            <w:r>
              <w:t xml:space="preserve">-0.4 [-0.64, -0.22]</w:t>
            </w:r>
          </w:p>
        </w:tc>
        <w:tc>
          <w:tcPr/>
          <w:p>
            <w:pPr>
              <w:pStyle w:val="Compact"/>
              <w:jc w:val="left"/>
            </w:pPr>
            <w:r>
              <w:t xml:space="preserve">-0.42 [-0.63, -0.23]</w:t>
            </w:r>
          </w:p>
        </w:tc>
      </w:tr>
      <w:tr>
        <w:tc>
          <w:tcPr/>
          <w:p>
            <w:pPr>
              <w:pStyle w:val="Compact"/>
              <w:jc w:val="left"/>
            </w:pPr>
            <w:r>
              <w:t xml:space="preserve">ΔRMSE Test</w:t>
            </w:r>
          </w:p>
        </w:tc>
        <w:tc>
          <w:tcPr/>
          <w:p>
            <w:pPr>
              <w:pStyle w:val="Compact"/>
              <w:jc w:val="left"/>
            </w:pPr>
            <w:r>
              <w:t xml:space="preserve">0.44 [0.2, 0.79]</w:t>
            </w:r>
          </w:p>
        </w:tc>
        <w:tc>
          <w:tcPr/>
          <w:p>
            <w:pPr>
              <w:pStyle w:val="Compact"/>
              <w:jc w:val="left"/>
            </w:pPr>
            <w:r>
              <w:t xml:space="preserve">-0.38 [-0.75, -0.13]</w:t>
            </w:r>
          </w:p>
        </w:tc>
        <w:tc>
          <w:tcPr/>
          <w:p>
            <w:pPr>
              <w:pStyle w:val="Compact"/>
              <w:jc w:val="left"/>
            </w:pPr>
            <w:r>
              <w:t xml:space="preserve">-0.53 [-0.9, -0.28]</w:t>
            </w:r>
          </w:p>
        </w:tc>
      </w:tr>
      <w:tr>
        <w:tc>
          <w:tcPr/>
          <w:p>
            <w:pPr>
              <w:pStyle w:val="Compact"/>
              <w:jc w:val="left"/>
            </w:pPr>
            <w:r>
              <w:t xml:space="preserve">SRCC Calibration</w:t>
            </w:r>
          </w:p>
        </w:tc>
        <w:tc>
          <w:tcPr/>
          <w:p>
            <w:pPr>
              <w:pStyle w:val="Compact"/>
              <w:jc w:val="left"/>
            </w:pPr>
            <w:r>
              <w:t xml:space="preserve">0.24 [0.02, 0.49]</w:t>
            </w:r>
          </w:p>
        </w:tc>
        <w:tc>
          <w:tcPr/>
          <w:p>
            <w:pPr>
              <w:pStyle w:val="Compact"/>
              <w:jc w:val="left"/>
            </w:pPr>
            <w:r>
              <w:t xml:space="preserve">-0.26 [-0.5, -0.06]</w:t>
            </w:r>
          </w:p>
        </w:tc>
        <w:tc>
          <w:tcPr/>
          <w:p>
            <w:pPr>
              <w:pStyle w:val="Compact"/>
              <w:jc w:val="left"/>
            </w:pPr>
            <w:r>
              <w:t xml:space="preserve">-0.48 [-0.67, -0.3]</w:t>
            </w:r>
          </w:p>
        </w:tc>
      </w:tr>
      <w:tr>
        <w:tc>
          <w:tcPr/>
          <w:p>
            <w:pPr>
              <w:pStyle w:val="Compact"/>
              <w:jc w:val="left"/>
            </w:pPr>
            <w:r>
              <w:t xml:space="preserve">SRCC Test</w:t>
            </w:r>
          </w:p>
        </w:tc>
        <w:tc>
          <w:tcPr/>
          <w:p>
            <w:pPr>
              <w:pStyle w:val="Compact"/>
              <w:jc w:val="left"/>
            </w:pPr>
            <w:r>
              <w:t xml:space="preserve">0.4 [0.15, 0.78]</w:t>
            </w:r>
          </w:p>
        </w:tc>
        <w:tc>
          <w:tcPr/>
          <w:p>
            <w:pPr>
              <w:pStyle w:val="Compact"/>
              <w:jc w:val="left"/>
            </w:pPr>
            <w:r>
              <w:t xml:space="preserve">-0.34 [-0.71, -0.05]</w:t>
            </w:r>
          </w:p>
        </w:tc>
        <w:tc>
          <w:tcPr/>
          <w:p>
            <w:pPr>
              <w:pStyle w:val="Compact"/>
              <w:jc w:val="left"/>
            </w:pPr>
            <w:r>
              <w:t xml:space="preserve">-0.48 [-0.81, -0.25]</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3"/>
    <w:bookmarkStart w:id="227"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2026-08-24T00:36:31Z</dcterms:created>
  <dcterms:modified xsi:type="dcterms:W3CDTF">2026-08-24T00:36:31Z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