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4.png" ContentType="image/png"/>
  <Override PartName="/word/media/rId228.png" ContentType="image/png"/>
  <Override PartName="/word/media/rId11.png" ContentType="image/png"/>
  <Override PartName="/word/media/rId28.png" ContentType="image/png"/>
  <Override PartName="/word/media/rId219.png" ContentType="image/png"/>
  <Override PartName="/word/media/rId2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t>b</m:t>
                                  </m:r>
                                  <m:r>
                                    <m:t>a</m:t>
                                  </m:r>
                                  <m:r>
                                    <m:t>s</m:t>
                                  </m:r>
                                  <m:r>
                                    <m:t>e</m:t>
                                  </m:r>
                                </m:sup>
                              </m:sSup>
                            </m:num>
                            <m:den>
                              <m:r>
                                <m:t>1</m:t>
                              </m:r>
                              <m:r>
                                <m:rPr>
                                  <m:sty m:val="p"/>
                                </m:rPr>
                                <m:t>+</m:t>
                              </m:r>
                              <m:r>
                                <m:t>D</m:t>
                              </m:r>
                              <m:r>
                                <m:t>H</m:t>
                              </m:r>
                              <m:sSub>
                                <m:e>
                                  <m:r>
                                    <m:t>W</m:t>
                                  </m:r>
                                </m:e>
                                <m:sub>
                                  <m:r>
                                    <m:t>t</m:t>
                                  </m:r>
                                  <m:r>
                                    <m:rPr>
                                      <m:sty m:val="p"/>
                                    </m:rPr>
                                    <m:t>;</m:t>
                                  </m:r>
                                  <m:r>
                                    <m:t>l</m:t>
                                  </m:r>
                                </m:sub>
                              </m:sSub>
                              <m:r>
                                <m:rPr>
                                  <m:sty m:val="p"/>
                                </m:rPr>
                                <m:t>/</m:t>
                              </m:r>
                              <m:sSup>
                                <m:e>
                                  <m:r>
                                    <m:t>η</m:t>
                                  </m:r>
                                </m:e>
                                <m:sup>
                                  <m:r>
                                    <m:t>m</m:t>
                                  </m:r>
                                  <m:r>
                                    <m:t>i</m:t>
                                  </m:r>
                                  <m:r>
                                    <m:t>x</m:t>
                                  </m:r>
                                </m:sup>
                              </m:sSup>
                            </m:den>
                          </m:f>
                          <m:r>
                            <m:rPr>
                              <m:sty m:val="p"/>
                            </m:rPr>
                            <m:t>,</m:t>
                          </m:r>
                        </m:e>
                        <m:e>
                          <m:sSup>
                            <m:e>
                              <m:r>
                                <m:t>η</m:t>
                              </m:r>
                            </m:e>
                            <m:sup>
                              <m:r>
                                <m:t>m</m:t>
                              </m:r>
                              <m:r>
                                <m:t>i</m:t>
                              </m:r>
                              <m:r>
                                <m:t>x</m:t>
                              </m:r>
                            </m:sup>
                          </m:sSup>
                          <m:r>
                            <m:rPr>
                              <m:sty m:val="p"/>
                            </m:rPr>
                            <m:t>&gt;</m:t>
                          </m:r>
                          <m:r>
                            <m:t>0</m:t>
                          </m:r>
                        </m:e>
                      </m:mr>
                      <m:mr>
                        <m:e>
                          <m:r>
                            <m:t>0</m:t>
                          </m:r>
                          <m:r>
                            <m:rPr>
                              <m:sty m:val="p"/>
                            </m:rPr>
                            <m:t>,</m:t>
                          </m:r>
                        </m:e>
                        <m:e>
                          <m:sSup>
                            <m:e>
                              <m:r>
                                <m:t>η</m:t>
                              </m:r>
                            </m:e>
                            <m:sup>
                              <m:r>
                                <m:t>m</m:t>
                              </m:r>
                              <m:r>
                                <m:t>i</m:t>
                              </m:r>
                              <m:r>
                                <m:t>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t>b</m:t>
            </m:r>
            <m:r>
              <m:t>a</m:t>
            </m:r>
            <m:r>
              <m:t>s</m:t>
            </m:r>
            <m:r>
              <m:t>e</m:t>
            </m:r>
          </m:sup>
        </m:sSup>
      </m:oMath>
      <w:r>
        <w:t xml:space="preserve">, in m</w:t>
      </w:r>
      <m:oMath>
        <m:sSup>
          <m:e>
            <m:r>
              <m:t>​</m:t>
            </m:r>
          </m:e>
          <m:sup>
            <m:r>
              <m:rPr>
                <m:sty m:val="p"/>
              </m:rPr>
              <m:t>−</m:t>
            </m:r>
            <m:r>
              <m:t>1</m:t>
            </m:r>
          </m:sup>
        </m:sSup>
      </m:oMath>
      <w:r>
        <w:t xml:space="preserve">) and a mixing factor (</w:t>
      </w:r>
      <m:oMath>
        <m:sSup>
          <m:e>
            <m:r>
              <m:t>η</m:t>
            </m:r>
          </m:e>
          <m:sup>
            <m:r>
              <m:t>m</m:t>
            </m:r>
            <m:r>
              <m:t>i</m:t>
            </m:r>
            <m:r>
              <m:t>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t>b</m:t>
            </m:r>
            <m:r>
              <m:t>a</m:t>
            </m:r>
            <m:r>
              <m:t>s</m:t>
            </m:r>
            <m:r>
              <m:t>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t>m</m:t>
            </m:r>
            <m:r>
              <m:t>i</m:t>
            </m:r>
            <m:r>
              <m:t>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equation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equation (19) can push</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w:t>
      </w:r>
      <w:r>
        <w:t xml:space="preserve">above the source location’s own ceiling, and the connectivity-weighted combination in equation (20) can compound this across source locations,</w:t>
      </w:r>
      <w:r>
        <w:t xml:space="preserve"> </w:t>
      </w: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and SRCC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09"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End w:id="209"/>
    <w:bookmarkStart w:id="237" w:name="supplementary-materials"/>
    <w:p>
      <w:pPr>
        <w:pStyle w:val="Heading1"/>
      </w:pPr>
      <w:r>
        <w:t xml:space="preserve">7. Supplementary Materials</w:t>
      </w:r>
    </w:p>
    <w:bookmarkStart w:id="210" w:name="parameter-values"/>
    <w:p>
      <w:pPr>
        <w:pStyle w:val="Heading2"/>
      </w:pPr>
      <w:r>
        <w:t xml:space="preserve">7.1 Parameter values</w:t>
      </w:r>
    </w:p>
    <w:p>
      <w:pPr>
        <w:pStyle w:val="FirstParagraph"/>
      </w:pPr>
      <w:r>
        <w:rPr>
          <w:b/>
          <w:bCs/>
        </w:rPr>
        <w:t xml:space="preserve">Heritability = 0.3</w:t>
      </w:r>
    </w:p>
    <w:bookmarkEnd w:id="210"/>
    <w:bookmarkStart w:id="211" w:name="tables"/>
    <w:p>
      <w:pPr>
        <w:pStyle w:val="Heading2"/>
      </w:pPr>
      <w:r>
        <w:t xml:space="preserve">7.2 Tables</w:t>
      </w:r>
    </w:p>
    <w:p>
      <w:pPr>
        <w:pStyle w:val="TableCaption"/>
      </w:pPr>
      <w:r>
        <w:rPr>
          <w:b/>
          <w:bCs/>
        </w:rP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rPr>
          <w:b/>
          <w:bCs/>
        </w:rP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1"/>
    <w:bookmarkStart w:id="212"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2"/>
    <w:bookmarkStart w:id="218"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3"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3"/>
    <w:bookmarkStart w:id="214"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4"/>
    <w:bookmarkStart w:id="215"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5"/>
    <w:bookmarkStart w:id="216"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6"/>
    <w:bookmarkStart w:id="217"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7"/>
    <w:bookmarkEnd w:id="218"/>
    <w:bookmarkStart w:id="232"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2"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0" name="Picture"/>
            <a:graphic>
              <a:graphicData uri="http://schemas.openxmlformats.org/drawingml/2006/picture">
                <pic:pic>
                  <pic:nvPicPr>
                    <pic:cNvPr descr="media/image7.png" id="221" name="Picture"/>
                    <pic:cNvPicPr>
                      <a:picLocks noChangeArrowheads="1" noChangeAspect="1"/>
                    </pic:cNvPicPr>
                  </pic:nvPicPr>
                  <pic:blipFill>
                    <a:blip r:embed="rId219"/>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2"/>
    <w:bookmarkStart w:id="223" w:name="objective-function"/>
    <w:p>
      <w:pPr>
        <w:pStyle w:val="Heading3"/>
      </w:pPr>
      <w:r>
        <w:t xml:space="preserve">7.5.2 Objective function</w:t>
      </w:r>
    </w:p>
    <w:p>
      <w:pPr>
        <w:pStyle w:val="FirstParagraph"/>
      </w:pPr>
      <w:r>
        <w:t xml:space="preserve">The objective function used to optimize the parameterization of CoralBlox has two components: a total cover error and a coral composition error. AIMS’ Long Term Monitoring Program (LTMP) Manta Tow data was used as the target reef coral cover levels, and coral composition data derived from AIMS’ LTMP photogrammetry data was used as the target coral composition levels.</w:t>
      </w:r>
    </w:p>
    <w:p>
      <w:pPr>
        <w:pStyle w:val="BodyText"/>
      </w:pPr>
      <w:r>
        <w:t xml:space="preserve">The total cover error combines a year-weighted mean absolute error over the calibration period with two further terms scoring how well each reef’s observed peak and trough in coral cover are reproduced. The per-year error, calculated across all reefs</w:t>
      </w:r>
      <w:r>
        <w:t xml:space="preserve"> </w:t>
      </w:r>
      <m:oMath>
        <m:r>
          <m:t>l</m:t>
        </m:r>
      </m:oMath>
      <w:r>
        <w:t xml:space="preserve"> </w:t>
      </w:r>
      <w:r>
        <w:t xml:space="preserve">with an observed value at year</w:t>
      </w:r>
      <w:r>
        <w:t xml:space="preserve"> </w:t>
      </w:r>
      <m:oMath>
        <m:r>
          <m:t>t</m:t>
        </m:r>
      </m:oMath>
      <w:r>
        <w:t xml:space="preserve"> </w:t>
      </w:r>
      <w:r>
        <w:t xml:space="preserve">(</w:t>
      </w:r>
      <m:oMath>
        <m:sSub>
          <m:e>
            <m:r>
              <m:t>L</m:t>
            </m:r>
          </m:e>
          <m:sub>
            <m:r>
              <m:t>t</m:t>
            </m:r>
          </m:sub>
        </m:sSub>
      </m:oMath>
      <w:r>
        <w:t xml:space="preserve">, with</w:t>
      </w:r>
      <w:r>
        <w:t xml:space="preserve"> </w:t>
      </w:r>
      <m:oMath>
        <m:sSub>
          <m:e>
            <m:r>
              <m:t>N</m:t>
            </m:r>
          </m:e>
          <m:sub>
            <m:r>
              <m:t>t</m:t>
            </m:r>
          </m:sub>
        </m:sSub>
        <m:r>
          <m:rPr>
            <m:sty m:val="p"/>
          </m:rPr>
          <m:t>=</m:t>
        </m:r>
        <m:d>
          <m:dPr>
            <m:begChr m:val="|"/>
            <m:sepChr m:val=""/>
            <m:endChr m:val="|"/>
            <m:grow/>
          </m:dPr>
          <m:e>
            <m:sSub>
              <m:e>
                <m:r>
                  <m:t>L</m:t>
                </m:r>
              </m:e>
              <m:sub>
                <m:r>
                  <m:t>t</m:t>
                </m:r>
              </m:sub>
            </m:sSub>
          </m:e>
        </m:d>
      </m:oMath>
      <w:r>
        <w:t xml:space="preserve"> </w:t>
      </w:r>
      <w:r>
        <w:t xml:space="preserve">reefs),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t</m:t>
                    </m:r>
                  </m:sub>
                </m:sSub>
                <m:r>
                  <m:rPr>
                    <m:sty m:val="p"/>
                  </m:rPr>
                  <m:t>=</m:t>
                </m:r>
                <m:f>
                  <m:fPr>
                    <m:type m:val="bar"/>
                  </m:fPr>
                  <m:num>
                    <m:r>
                      <m:t>1</m:t>
                    </m:r>
                  </m:num>
                  <m:den>
                    <m:sSub>
                      <m:e>
                        <m:r>
                          <m:t>N</m:t>
                        </m:r>
                      </m:e>
                      <m:sub>
                        <m:r>
                          <m:t>t</m:t>
                        </m:r>
                      </m:sub>
                    </m:sSub>
                  </m:den>
                </m:f>
                <m:nary>
                  <m:naryPr>
                    <m:chr m:val="∑"/>
                    <m:limLoc m:val="undOvr"/>
                    <m:subHide m:val="off"/>
                    <m:supHide m:val="on"/>
                  </m:naryPr>
                  <m:sub>
                    <m:r>
                      <m:t>l</m:t>
                    </m:r>
                    <m:r>
                      <m:rPr>
                        <m:sty m:val="p"/>
                      </m:rPr>
                      <m:t>∈</m:t>
                    </m:r>
                    <m:sSub>
                      <m:e>
                        <m:r>
                          <m:t>L</m:t>
                        </m:r>
                      </m:e>
                      <m:sub>
                        <m:r>
                          <m:t>t</m:t>
                        </m:r>
                      </m:sub>
                    </m:sSub>
                  </m:sub>
                  <m:sup>
                    <m:r>
                      <m:t>​</m:t>
                    </m:r>
                  </m:sup>
                  <m:e>
                    <m:d>
                      <m:dPr>
                        <m:begChr m:val="|"/>
                        <m:sepChr m:val=""/>
                        <m:endChr m:val="|"/>
                        <m:grow/>
                      </m:dPr>
                      <m:e>
                        <m:sSub>
                          <m:e>
                            <m:r>
                              <m:t>y</m:t>
                            </m:r>
                          </m:e>
                          <m:sub>
                            <m:r>
                              <m:t>t</m:t>
                            </m:r>
                            <m:r>
                              <m:rPr>
                                <m:sty m:val="p"/>
                              </m:rPr>
                              <m:t>,</m:t>
                            </m:r>
                            <m:r>
                              <m:t>l</m:t>
                            </m:r>
                          </m:sub>
                        </m:sSub>
                        <m:r>
                          <m:rPr>
                            <m:sty m:val="p"/>
                          </m:rPr>
                          <m:t>−</m:t>
                        </m:r>
                        <m:sSub>
                          <m:e>
                            <m:acc>
                              <m:accPr>
                                <m:chr m:val="̂"/>
                              </m:accPr>
                              <m:e>
                                <m:r>
                                  <m:t>y</m:t>
                                </m:r>
                              </m:e>
                            </m:acc>
                          </m:e>
                          <m:sub>
                            <m:r>
                              <m:t>t</m:t>
                            </m:r>
                            <m:r>
                              <m:rPr>
                                <m:sty m:val="p"/>
                              </m:rPr>
                              <m:t>,</m:t>
                            </m:r>
                            <m:r>
                              <m:t>l</m:t>
                            </m:r>
                          </m:sub>
                        </m:sSub>
                      </m:e>
                    </m:d>
                  </m:e>
                </m:nary>
              </m:oMath>
            </m:oMathPara>
          </w:p>
        </w:tc>
        <w:tc>
          <w:tcPr/>
          <w:p>
            <w:pPr>
              <w:pStyle w:val="Compact"/>
            </w:pPr>
            <w:r>
              <w:t xml:space="preserve">(21S)</w:t>
            </w:r>
          </w:p>
        </w:tc>
      </w:tr>
    </w:tbl>
    <w:p>
      <w:pPr>
        <w:pStyle w:val="BodyText"/>
      </w:pPr>
      <w:r>
        <w:t xml:space="preserve">Because CoralBlox is run forward from its initial cover without re-anchoring to observations, error compounds over the course of a simulation. Later years, and years with more reporting reefs, are therefore weighted more heavily when combining the per-year errors into a single reef performance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r</m:t>
                    </m:r>
                    <m:r>
                      <m:t>e</m:t>
                    </m:r>
                    <m:r>
                      <m:t>e</m:t>
                    </m:r>
                    <m:r>
                      <m:t>f</m:t>
                    </m:r>
                  </m:sub>
                </m:sSub>
                <m:r>
                  <m:rPr>
                    <m:sty m:val="p"/>
                  </m:rPr>
                  <m:t>=</m:t>
                </m:r>
                <m:f>
                  <m:fPr>
                    <m:type m:val="bar"/>
                  </m:fPr>
                  <m:num>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r>
                          <m:rPr>
                            <m:sty m:val="p"/>
                          </m:rPr>
                          <m:t>⋅</m:t>
                        </m:r>
                        <m:r>
                          <m:t>E</m:t>
                        </m:r>
                        <m:r>
                          <m:t>r</m:t>
                        </m:r>
                        <m:sSub>
                          <m:e>
                            <m:r>
                              <m:t>r</m:t>
                            </m:r>
                          </m:e>
                          <m:sub>
                            <m:r>
                              <m:t>t</m:t>
                            </m:r>
                          </m:sub>
                        </m:sSub>
                      </m:e>
                    </m:nary>
                  </m:num>
                  <m:den>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e>
                    </m:nary>
                  </m:den>
                </m:f>
              </m:oMath>
            </m:oMathPara>
          </w:p>
          <w:p>
            <w:pPr>
              <w:pStyle w:val="Compact"/>
            </w:pPr>
            <m:oMathPara>
              <m:oMathParaPr>
                <m:jc m:val="center"/>
              </m:oMathParaPr>
              <m:oMath>
                <m:sSub>
                  <m:e>
                    <m:r>
                      <m:t>w</m:t>
                    </m:r>
                  </m:e>
                  <m:sub>
                    <m:r>
                      <m:t>t</m:t>
                    </m:r>
                  </m:sub>
                </m:sSub>
                <m:r>
                  <m:rPr>
                    <m:sty m:val="p"/>
                  </m:rPr>
                  <m:t>=</m:t>
                </m:r>
                <m:r>
                  <m:t>t</m:t>
                </m:r>
                <m:r>
                  <m:rPr>
                    <m:sty m:val="p"/>
                  </m:rPr>
                  <m:t>⋅</m:t>
                </m:r>
                <m:rad>
                  <m:radPr>
                    <m:degHide m:val="on"/>
                  </m:radPr>
                  <m:deg/>
                  <m:e>
                    <m:sSub>
                      <m:e>
                        <m:r>
                          <m:t>N</m:t>
                        </m:r>
                      </m:e>
                      <m:sub>
                        <m:r>
                          <m:t>t</m:t>
                        </m:r>
                      </m:sub>
                    </m:sSub>
                  </m:e>
                </m:rad>
              </m:oMath>
            </m:oMathPara>
          </w:p>
        </w:tc>
        <w:tc>
          <w:tcPr/>
          <w:p>
            <w:pPr>
              <w:pStyle w:val="Compact"/>
            </w:pPr>
            <w:r>
              <w:t xml:space="preserve">(22S)</w:t>
            </w:r>
          </w:p>
        </w:tc>
      </w:tr>
    </w:tbl>
    <w:p>
      <w:pPr>
        <w:pStyle w:val="BodyText"/>
      </w:pPr>
      <w:r>
        <w:t xml:space="preserve">where</w:t>
      </w:r>
      <w:r>
        <w:t xml:space="preserve"> </w:t>
      </w:r>
      <m:oMath>
        <m:r>
          <m:t>t</m:t>
        </m:r>
      </m:oMath>
      <w:r>
        <w:t xml:space="preserve"> </w:t>
      </w:r>
      <w:r>
        <w:t xml:space="preserve">is the year index (1 for the first calibration year, increasing thereafter), and reefs surveyed in the same year are assumed not to fail independently of one another, so</w:t>
      </w:r>
      <w:r>
        <w:t xml:space="preserve"> </w:t>
      </w:r>
      <m:oMath>
        <m:sSub>
          <m:e>
            <m:r>
              <m:t>N</m:t>
            </m:r>
          </m:e>
          <m:sub>
            <m:r>
              <m:t>t</m:t>
            </m:r>
          </m:sub>
        </m:sSub>
      </m:oMath>
      <w:r>
        <w:t xml:space="preserve"> </w:t>
      </w:r>
      <w:r>
        <w:t xml:space="preserve">enters as</w:t>
      </w:r>
      <w:r>
        <w:t xml:space="preserve"> </w:t>
      </w:r>
      <m:oMath>
        <m:rad>
          <m:radPr>
            <m:degHide m:val="on"/>
          </m:radPr>
          <m:deg/>
          <m:e>
            <m:sSub>
              <m:e>
                <m:r>
                  <m:t>N</m:t>
                </m:r>
              </m:e>
              <m:sub>
                <m:r>
                  <m:t>t</m:t>
                </m:r>
              </m:sub>
            </m:sSub>
          </m:e>
        </m:rad>
      </m:oMath>
      <w:r>
        <w:t xml:space="preserve"> </w:t>
      </w:r>
      <w:r>
        <w:t xml:space="preserve">rather than linearly. Years with no reporting reefs are excluded from equation (22S).</w:t>
      </w:r>
    </w:p>
    <w:p>
      <w:pPr>
        <w:pStyle w:val="BodyText"/>
      </w:pPr>
      <w:r>
        <w:t xml:space="preserve">Modelled coral composition data derived from LTMP photogrammetry data was used to inform the initial coral composition at specific locations and as the target coral composition for subsequent historic years. Coral composition data was not recorded at all locations where manta tow coral cover levels are recorded; the assumption is that composition at fixed-site photogrammetry locations is representative of composition at nearby manta tow locations. Compositional mismatch between simulated and observed functional group cover was calculated using Bray-Curtis dissimilarity between the observed (</w:t>
      </w:r>
      <m:oMath>
        <m:sSub>
          <m:e>
            <m:r>
              <m:t>c</m:t>
            </m:r>
          </m:e>
          <m:sub>
            <m:r>
              <m:t>t</m:t>
            </m:r>
            <m:r>
              <m:rPr>
                <m:sty m:val="p"/>
              </m:rPr>
              <m:t>,</m:t>
            </m:r>
            <m:r>
              <m:t>g</m:t>
            </m:r>
            <m:r>
              <m:rPr>
                <m:sty m:val="p"/>
              </m:rPr>
              <m:t>,</m:t>
            </m:r>
            <m:r>
              <m:t>l</m:t>
            </m:r>
          </m:sub>
        </m:sSub>
      </m:oMath>
      <w:r>
        <w:t xml:space="preserve">) and modelled (</w:t>
      </w:r>
      <m:oMath>
        <m:sSub>
          <m:e>
            <m:acc>
              <m:accPr>
                <m:chr m:val="̂"/>
              </m:accPr>
              <m:e>
                <m:r>
                  <m:t>c</m:t>
                </m:r>
              </m:e>
            </m:acc>
          </m:e>
          <m:sub>
            <m:r>
              <m:t>t</m:t>
            </m:r>
            <m:r>
              <m:rPr>
                <m:sty m:val="p"/>
              </m:rPr>
              <m:t>,</m:t>
            </m:r>
            <m:r>
              <m:t>g</m:t>
            </m:r>
            <m:r>
              <m:rPr>
                <m:sty m:val="p"/>
              </m:rPr>
              <m:t>,</m:t>
            </m:r>
            <m:r>
              <m:t>l</m:t>
            </m:r>
          </m:sub>
        </m:sSub>
      </m:oMath>
      <w:r>
        <w:t xml:space="preserve">) proportional cover of each functional group</w:t>
      </w:r>
      <w:r>
        <w:t xml:space="preserve"> </w:t>
      </w:r>
      <m:oMath>
        <m:r>
          <m:t>g</m:t>
        </m:r>
      </m:oMath>
      <w:r>
        <w:t xml:space="preserve">, and averaged into a single Coral Composition Error (CCE). Bray-Curtis dissimilarity was used in preference to a correlation-based measure for two reasons: a correlation coefficient computed across only five functional groups is statistically unstable, and functional group proportions are compositional (closure-bound, summing to one), which makes correlation among them prone to spurious signal regardless of sample size. Bray-Curtis compares the two composition vectors directly, without any correlation or sampling estimation step, so neither issue applies: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B</m:t>
                </m:r>
                <m:sSub>
                  <m:e>
                    <m:r>
                      <m:t>C</m:t>
                    </m:r>
                  </m:e>
                  <m:sub>
                    <m:r>
                      <m:t>t</m:t>
                    </m:r>
                    <m:r>
                      <m:rPr>
                        <m:sty m:val="p"/>
                      </m:rPr>
                      <m:t>,</m:t>
                    </m:r>
                    <m:r>
                      <m:t>l</m:t>
                    </m:r>
                  </m:sub>
                </m:sSub>
                <m:r>
                  <m:rPr>
                    <m:sty m:val="p"/>
                  </m:rPr>
                  <m:t>=</m:t>
                </m:r>
                <m:f>
                  <m:fPr>
                    <m:type m:val="bar"/>
                  </m:fPr>
                  <m:num>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num>
                  <m:den>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den>
                </m:f>
              </m:oMath>
            </m:oMathPara>
          </w:p>
          <w:p>
            <w:pPr>
              <w:pStyle w:val="Compact"/>
            </w:pPr>
            <m:oMathPara>
              <m:oMathParaPr>
                <m:jc m:val="center"/>
              </m:oMathParaPr>
              <m:oMath>
                <m:r>
                  <m:t>C</m:t>
                </m:r>
                <m:r>
                  <m:t>C</m:t>
                </m:r>
                <m:r>
                  <m:t>E</m:t>
                </m:r>
                <m:r>
                  <m:rPr>
                    <m:sty m:val="p"/>
                  </m:rPr>
                  <m:t>=</m:t>
                </m:r>
                <m:f>
                  <m:fPr>
                    <m:type m:val="bar"/>
                  </m:fPr>
                  <m:num>
                    <m:r>
                      <m:t>1</m:t>
                    </m:r>
                  </m:num>
                  <m:den>
                    <m:d>
                      <m:dPr>
                        <m:begChr m:val="|"/>
                        <m:sepChr m:val=""/>
                        <m:endChr m:val="|"/>
                        <m:grow/>
                      </m:dPr>
                      <m:e>
                        <m:sSup>
                          <m:e>
                            <m:r>
                              <m:t>L</m:t>
                            </m:r>
                          </m:e>
                          <m:sup>
                            <m:r>
                              <m:t>c</m:t>
                            </m:r>
                            <m:r>
                              <m:t>o</m:t>
                            </m:r>
                            <m:r>
                              <m:t>m</m:t>
                            </m:r>
                            <m:r>
                              <m:t>p</m:t>
                            </m:r>
                          </m:sup>
                        </m:sSup>
                      </m:e>
                    </m:d>
                  </m:den>
                </m:f>
                <m:nary>
                  <m:naryPr>
                    <m:chr m:val="∑"/>
                    <m:limLoc m:val="undOvr"/>
                    <m:subHide m:val="off"/>
                    <m:supHide m:val="on"/>
                  </m:naryPr>
                  <m:sub>
                    <m:r>
                      <m:t>l</m:t>
                    </m:r>
                    <m:r>
                      <m:rPr>
                        <m:sty m:val="p"/>
                      </m:rPr>
                      <m:t>∈</m:t>
                    </m:r>
                    <m:sSup>
                      <m:e>
                        <m:r>
                          <m:t>L</m:t>
                        </m:r>
                      </m:e>
                      <m:sup>
                        <m:r>
                          <m:t>c</m:t>
                        </m:r>
                        <m:r>
                          <m:t>o</m:t>
                        </m:r>
                        <m:r>
                          <m:t>m</m:t>
                        </m:r>
                        <m:r>
                          <m:t>p</m:t>
                        </m:r>
                      </m:sup>
                    </m:sSup>
                  </m:sub>
                  <m:sup>
                    <m:r>
                      <m:t>​</m:t>
                    </m:r>
                  </m:sup>
                  <m:e>
                    <m:r>
                      <m:t>C</m:t>
                    </m:r>
                    <m:r>
                      <m:t>C</m:t>
                    </m:r>
                    <m:sSub>
                      <m:e>
                        <m:r>
                          <m:t>E</m:t>
                        </m:r>
                      </m:e>
                      <m:sub>
                        <m:r>
                          <m:t>l</m:t>
                        </m:r>
                      </m:sub>
                    </m:sSub>
                  </m:e>
                </m:nary>
              </m:oMath>
            </m:oMathPara>
          </w:p>
        </w:tc>
        <w:tc>
          <w:tcPr/>
          <w:p>
            <w:pPr>
              <w:pStyle w:val="Compact"/>
            </w:pPr>
            <w:r>
              <w:t xml:space="preserve">(23S)</w:t>
            </w:r>
          </w:p>
        </w:tc>
      </w:tr>
    </w:tbl>
    <w:p>
      <w:pPr>
        <w:pStyle w:val="BodyText"/>
      </w:pPr>
      <w:r>
        <w:t xml:space="preserve">where</w:t>
      </w:r>
      <w:r>
        <w:t xml:space="preserve"> </w:t>
      </w:r>
      <m:oMath>
        <m:r>
          <m:t>C</m:t>
        </m:r>
        <m:r>
          <m:t>C</m:t>
        </m:r>
        <m:sSub>
          <m:e>
            <m:r>
              <m:t>E</m:t>
            </m:r>
          </m:e>
          <m:sub>
            <m:r>
              <m:t>l</m:t>
            </m:r>
          </m:sub>
        </m:sSub>
      </m:oMath>
      <w:r>
        <w:t xml:space="preserve"> </w:t>
      </w:r>
      <w:r>
        <w:t xml:space="preserve">is the mean of</w:t>
      </w:r>
      <w:r>
        <w:t xml:space="preserve"> </w:t>
      </w:r>
      <m:oMath>
        <m:r>
          <m:t>B</m:t>
        </m:r>
        <m:sSub>
          <m:e>
            <m:r>
              <m:t>C</m:t>
            </m:r>
          </m:e>
          <m:sub>
            <m:r>
              <m:t>t</m:t>
            </m:r>
            <m:r>
              <m:rPr>
                <m:sty m:val="p"/>
              </m:rPr>
              <m:t>,</m:t>
            </m:r>
            <m:r>
              <m:t>l</m:t>
            </m:r>
          </m:sub>
        </m:sSub>
      </m:oMath>
      <w:r>
        <w:t xml:space="preserve"> </w:t>
      </w:r>
      <w:r>
        <w:t xml:space="preserve">over the years at reef</w:t>
      </w:r>
      <w:r>
        <w:t xml:space="preserve"> </w:t>
      </w:r>
      <m:oMath>
        <m:r>
          <m:t>l</m:t>
        </m:r>
      </m:oMath>
      <w:r>
        <w:t xml:space="preserve"> </w:t>
      </w:r>
      <w:r>
        <w:t xml:space="preserve">where all functional groups’ composition was observed, and</w:t>
      </w:r>
      <w:r>
        <w:t xml:space="preserve"> </w:t>
      </w:r>
      <m:oMath>
        <m:sSup>
          <m:e>
            <m:r>
              <m:t>L</m:t>
            </m:r>
          </m:e>
          <m:sup>
            <m:r>
              <m:t>c</m:t>
            </m:r>
            <m:r>
              <m:t>o</m:t>
            </m:r>
            <m:r>
              <m:t>m</m:t>
            </m:r>
            <m:r>
              <m:t>p</m:t>
            </m:r>
          </m:sup>
        </m:sSup>
      </m:oMath>
      <w:r>
        <w:t xml:space="preserve"> </w:t>
      </w:r>
      <w:r>
        <w:t xml:space="preserve">is the set of reefs with composition data. Reefs with no year of fully observed composition data are assigned a neutral</w:t>
      </w:r>
      <w:r>
        <w:t xml:space="preserve"> </w:t>
      </w:r>
      <m:oMath>
        <m:r>
          <m:t>C</m:t>
        </m:r>
        <m:r>
          <m:t>C</m:t>
        </m:r>
        <m:sSub>
          <m:e>
            <m:r>
              <m:t>E</m:t>
            </m:r>
          </m:e>
          <m:sub>
            <m:r>
              <m:t>l</m:t>
            </m:r>
          </m:sub>
        </m:sSub>
      </m:oMath>
      <w:r>
        <w:t xml:space="preserve"> </w:t>
      </w:r>
      <w:r>
        <w:t xml:space="preserve">of 0.5 rather than being excluded from the mean.</w:t>
      </w:r>
    </w:p>
    <w:p>
      <w:pPr>
        <w:pStyle w:val="BodyText"/>
      </w:pPr>
      <w:r>
        <w:t xml:space="preserve">Finally, emphasis is placed on minimizing error at the peak and trough of each reef’s observed coral cover trajectory. For each reef</w:t>
      </w:r>
      <w:r>
        <w:t xml:space="preserve"> </w:t>
      </w:r>
      <m:oMath>
        <m:r>
          <m:t>l</m:t>
        </m:r>
      </m:oMath>
      <w:r>
        <w:t xml:space="preserve">, let</w:t>
      </w:r>
      <w:r>
        <w:t xml:space="preserve"> </w:t>
      </w:r>
      <m:oMath>
        <m:sSubSup>
          <m:e>
            <m:r>
              <m:t>t</m:t>
            </m:r>
          </m:e>
          <m:sub>
            <m:r>
              <m:t>l</m:t>
            </m:r>
          </m:sub>
          <m:sup>
            <m:r>
              <m:t>p</m:t>
            </m:r>
            <m:r>
              <m:t>e</m:t>
            </m:r>
            <m:r>
              <m:t>a</m:t>
            </m:r>
            <m:r>
              <m:t>k</m:t>
            </m:r>
          </m:sup>
        </m:sSubSup>
      </m:oMath>
      <w:r>
        <w:t xml:space="preserve"> </w:t>
      </w:r>
      <w:r>
        <w:t xml:space="preserve">and</w:t>
      </w:r>
      <w:r>
        <w:t xml:space="preserve"> </w:t>
      </w:r>
      <m:oMath>
        <m:sSubSup>
          <m:e>
            <m:r>
              <m:t>t</m:t>
            </m:r>
          </m:e>
          <m:sub>
            <m:r>
              <m:t>l</m:t>
            </m:r>
          </m:sub>
          <m:sup>
            <m:r>
              <m:t>t</m:t>
            </m:r>
            <m:r>
              <m:t>r</m:t>
            </m:r>
            <m:r>
              <m:t>o</m:t>
            </m:r>
            <m:r>
              <m:t>u</m:t>
            </m:r>
            <m:r>
              <m:t>g</m:t>
            </m:r>
            <m:r>
              <m:t>h</m:t>
            </m:r>
          </m:sup>
        </m:sSubSup>
      </m:oMath>
      <w:r>
        <w:t xml:space="preserve"> </w:t>
      </w:r>
      <w:r>
        <w:t xml:space="preserve">be the years of that reef’s highest and lowest observed coral cover, respectively; the error at these points is calculated using mean absolute error across all reefs</w:t>
      </w:r>
      <w:r>
        <w:t xml:space="preserve"> </w:t>
      </w:r>
      <m:oMath>
        <m:r>
          <m:t>L</m:t>
        </m:r>
      </m:oMath>
      <w:r>
        <w:t xml:space="preserve"> </w:t>
      </w:r>
      <w:r>
        <w:t xml:space="preserve">with at least one observation:</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c</m:t>
                    </m:r>
                  </m:sub>
                </m:sSub>
                <m:r>
                  <m:rPr>
                    <m:sty m:val="p"/>
                  </m:rPr>
                  <m:t>=</m:t>
                </m:r>
                <m:f>
                  <m:fPr>
                    <m:type m:val="bar"/>
                  </m:fPr>
                  <m:num>
                    <m:r>
                      <m:t>1</m:t>
                    </m:r>
                  </m:num>
                  <m:den>
                    <m:d>
                      <m:dPr>
                        <m:begChr m:val="|"/>
                        <m:sepChr m:val=""/>
                        <m:endChr m:val="|"/>
                        <m:grow/>
                      </m:dPr>
                      <m:e>
                        <m:r>
                          <m:t>L</m:t>
                        </m:r>
                      </m:e>
                    </m:d>
                  </m:den>
                </m:f>
                <m:nary>
                  <m:naryPr>
                    <m:chr m:val="∑"/>
                    <m:limLoc m:val="undOvr"/>
                    <m:subHide m:val="off"/>
                    <m:supHide m:val="on"/>
                  </m:naryPr>
                  <m:sub>
                    <m:r>
                      <m:t>l</m:t>
                    </m:r>
                    <m:r>
                      <m:rPr>
                        <m:sty m:val="p"/>
                      </m:rPr>
                      <m:t>∈</m:t>
                    </m:r>
                    <m:r>
                      <m:t>L</m:t>
                    </m:r>
                  </m:sub>
                  <m:sup>
                    <m:r>
                      <m:t>​</m:t>
                    </m:r>
                  </m:sup>
                  <m:e>
                    <m:d>
                      <m:dPr>
                        <m:begChr m:val="|"/>
                        <m:sepChr m:val=""/>
                        <m:endChr m:val="|"/>
                        <m:grow/>
                      </m:dPr>
                      <m:e>
                        <m:sSub>
                          <m:e>
                            <m:acc>
                              <m:accPr>
                                <m:chr m:val="̂"/>
                              </m:accPr>
                              <m:e>
                                <m:r>
                                  <m:t>y</m:t>
                                </m:r>
                              </m:e>
                            </m:acc>
                          </m:e>
                          <m:sub>
                            <m:sSubSup>
                              <m:e>
                                <m:r>
                                  <m:t>t</m:t>
                                </m:r>
                              </m:e>
                              <m:sub>
                                <m:r>
                                  <m:t>l</m:t>
                                </m:r>
                              </m:sub>
                              <m:sup>
                                <m:r>
                                  <m:t>c</m:t>
                                </m:r>
                              </m:sup>
                            </m:sSubSup>
                            <m:r>
                              <m:rPr>
                                <m:sty m:val="p"/>
                              </m:rPr>
                              <m:t>,</m:t>
                            </m:r>
                            <m:r>
                              <m:t>l</m:t>
                            </m:r>
                          </m:sub>
                        </m:sSub>
                        <m:r>
                          <m:rPr>
                            <m:sty m:val="p"/>
                          </m:rPr>
                          <m:t>−</m:t>
                        </m:r>
                        <m:sSub>
                          <m:e>
                            <m:r>
                              <m:t>y</m:t>
                            </m:r>
                          </m:e>
                          <m:sub>
                            <m:sSubSup>
                              <m:e>
                                <m:r>
                                  <m:t>t</m:t>
                                </m:r>
                              </m:e>
                              <m:sub>
                                <m:r>
                                  <m:t>l</m:t>
                                </m:r>
                              </m:sub>
                              <m:sup>
                                <m:r>
                                  <m:t>c</m:t>
                                </m:r>
                              </m:sup>
                            </m:sSubSup>
                            <m:r>
                              <m:rPr>
                                <m:sty m:val="p"/>
                              </m:rPr>
                              <m:t>,</m:t>
                            </m:r>
                            <m:r>
                              <m:t>l</m:t>
                            </m:r>
                          </m:sub>
                        </m:sSub>
                      </m:e>
                    </m:d>
                  </m:e>
                </m:nary>
                <m:r>
                  <m:rPr>
                    <m:sty m:val="p"/>
                  </m:rPr>
                  <m:t>,</m:t>
                </m:r>
                <m:r>
                  <m:t> </m:t>
                </m:r>
                <m:r>
                  <m:t> </m:t>
                </m:r>
                <m:r>
                  <m:t>c</m:t>
                </m:r>
                <m:r>
                  <m:rPr>
                    <m:sty m:val="p"/>
                  </m:rPr>
                  <m:t>∈</m:t>
                </m:r>
                <m:d>
                  <m:dPr>
                    <m:begChr m:val="{"/>
                    <m:sepChr m:val=""/>
                    <m:endChr m:val="}"/>
                    <m:grow/>
                  </m:dPr>
                  <m:e>
                    <m:r>
                      <m:t>p</m:t>
                    </m:r>
                    <m:r>
                      <m:t>e</m:t>
                    </m:r>
                    <m:r>
                      <m:t>a</m:t>
                    </m:r>
                    <m:r>
                      <m:t>k</m:t>
                    </m:r>
                    <m:r>
                      <m:rPr>
                        <m:sty m:val="p"/>
                      </m:rPr>
                      <m:t>,</m:t>
                    </m:r>
                    <m:r>
                      <m:t> </m:t>
                    </m:r>
                    <m:r>
                      <m:t>t</m:t>
                    </m:r>
                    <m:r>
                      <m:t>r</m:t>
                    </m:r>
                    <m:r>
                      <m:t>o</m:t>
                    </m:r>
                    <m:r>
                      <m:t>u</m:t>
                    </m:r>
                    <m:r>
                      <m:t>g</m:t>
                    </m:r>
                    <m:r>
                      <m:t>h</m:t>
                    </m:r>
                  </m:e>
                </m:d>
              </m:oMath>
            </m:oMathPara>
          </w:p>
        </w:tc>
        <w:tc>
          <w:tcPr/>
          <w:p>
            <w:pPr>
              <w:pStyle w:val="Compact"/>
            </w:pPr>
            <w:r>
              <w:t xml:space="preserve">(24S)</w:t>
            </w:r>
          </w:p>
        </w:tc>
      </w:tr>
    </w:tbl>
    <w:p>
      <w:pPr>
        <w:pStyle w:val="BodyText"/>
      </w:pPr>
      <w:r>
        <w:t xml:space="preserve">The objective function is then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r</m:t>
                    </m:r>
                    <m:r>
                      <m:t>e</m:t>
                    </m:r>
                    <m:r>
                      <m:t>e</m:t>
                    </m:r>
                    <m:r>
                      <m:t>f</m:t>
                    </m:r>
                  </m:sub>
                </m:sSub>
                <m:r>
                  <m:rPr>
                    <m:sty m:val="p"/>
                  </m:rPr>
                  <m:t>+</m:t>
                </m:r>
                <m:r>
                  <m:t>0.5</m:t>
                </m:r>
                <m:r>
                  <m:rPr>
                    <m:sty m:val="p"/>
                  </m:rPr>
                  <m:t>⋅</m:t>
                </m:r>
                <m:r>
                  <m:t>E</m:t>
                </m:r>
                <m:r>
                  <m:t>r</m:t>
                </m:r>
                <m:sSub>
                  <m:e>
                    <m:r>
                      <m:t>r</m:t>
                    </m:r>
                  </m:e>
                  <m:sub>
                    <m:r>
                      <m:t>p</m:t>
                    </m:r>
                    <m:r>
                      <m:t>e</m:t>
                    </m:r>
                    <m:r>
                      <m:t>a</m:t>
                    </m:r>
                    <m:r>
                      <m:t>k</m:t>
                    </m:r>
                  </m:sub>
                </m:sSub>
                <m:r>
                  <m:rPr>
                    <m:sty m:val="p"/>
                  </m:rPr>
                  <m:t>+</m:t>
                </m:r>
                <m:r>
                  <m:t>0.5</m:t>
                </m:r>
                <m:r>
                  <m:rPr>
                    <m:sty m:val="p"/>
                  </m:rPr>
                  <m:t>⋅</m:t>
                </m:r>
                <m:r>
                  <m:t>E</m:t>
                </m:r>
                <m:r>
                  <m:t>r</m:t>
                </m:r>
                <m:sSub>
                  <m:e>
                    <m:r>
                      <m:t>r</m:t>
                    </m:r>
                  </m:e>
                  <m:sub>
                    <m:r>
                      <m:t>t</m:t>
                    </m:r>
                    <m:r>
                      <m:t>r</m:t>
                    </m:r>
                    <m:r>
                      <m:t>o</m:t>
                    </m:r>
                    <m:r>
                      <m:t>u</m:t>
                    </m:r>
                    <m:r>
                      <m:t>g</m:t>
                    </m:r>
                    <m:r>
                      <m:t>h</m:t>
                    </m:r>
                  </m:sub>
                </m:sSub>
                <m:r>
                  <m:rPr>
                    <m:sty m:val="p"/>
                  </m:rPr>
                  <m:t>+</m:t>
                </m:r>
                <m:r>
                  <m:t>2.0</m:t>
                </m:r>
                <m:r>
                  <m:rPr>
                    <m:sty m:val="p"/>
                  </m:rPr>
                  <m:t>⋅</m:t>
                </m:r>
                <m:r>
                  <m:t>C</m:t>
                </m:r>
                <m:r>
                  <m:t>C</m:t>
                </m:r>
                <m:r>
                  <m:t>E</m:t>
                </m:r>
              </m:oMath>
            </m:oMathPara>
          </w:p>
        </w:tc>
        <w:tc>
          <w:tcPr/>
          <w:p>
            <w:pPr>
              <w:pStyle w:val="Compact"/>
            </w:pPr>
            <w:r>
              <w:t xml:space="preserve">(25S)</w:t>
            </w:r>
          </w:p>
        </w:tc>
      </w:tr>
    </w:tbl>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3"/>
    <w:bookmarkStart w:id="227"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5" name="Picture"/>
            <a:graphic>
              <a:graphicData uri="http://schemas.openxmlformats.org/drawingml/2006/picture">
                <pic:pic>
                  <pic:nvPicPr>
                    <pic:cNvPr descr="../figures/S02_dhw_per_reef_group.png" id="226" name="Picture"/>
                    <pic:cNvPicPr>
                      <a:picLocks noChangeArrowheads="1" noChangeAspect="1"/>
                    </pic:cNvPicPr>
                  </pic:nvPicPr>
                  <pic:blipFill>
                    <a:blip r:embed="rId22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7"/>
    <w:bookmarkStart w:id="231" w:name="depth-attenuation-of-dhw"/>
    <w:p>
      <w:pPr>
        <w:pStyle w:val="Heading3"/>
      </w:pPr>
      <w:r>
        <w:t xml:space="preserve">7.5.4 Depth attenuation of DHW</w:t>
      </w:r>
    </w:p>
    <w:p>
      <w:pPr>
        <w:pStyle w:val="FirstParagraph"/>
      </w:pPr>
      <w:r>
        <w:t xml:space="preserve">The calibrated</w:t>
      </w:r>
      <w:r>
        <w:t xml:space="preserve"> </w:t>
      </w:r>
      <m:oMath>
        <m:sSup>
          <m:e>
            <m:r>
              <m:t>η</m:t>
            </m:r>
          </m:e>
          <m:sup>
            <m:r>
              <m:t>b</m:t>
            </m:r>
            <m:r>
              <m:t>a</m:t>
            </m:r>
            <m:r>
              <m:t>s</m:t>
            </m:r>
            <m:r>
              <m:t>e</m:t>
            </m:r>
          </m:sup>
        </m:sSup>
      </m:oMath>
      <w:r>
        <w:t xml:space="preserve"> </w:t>
      </w:r>
      <w:r>
        <w:t xml:space="preserve">and</w:t>
      </w:r>
      <w:r>
        <w:t xml:space="preserve"> </w:t>
      </w:r>
      <m:oMath>
        <m:sSup>
          <m:e>
            <m:r>
              <m:t>η</m:t>
            </m:r>
          </m:e>
          <m:sup>
            <m:r>
              <m:t>m</m:t>
            </m:r>
            <m:r>
              <m:t>i</m:t>
            </m:r>
            <m:r>
              <m:t>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base} and \eta^{mix} values. The dotted line shows the 1:1 reference (no attenuation, i.e. surface conditions)." title="" id="229" name="Picture"/>
            <a:graphic>
              <a:graphicData uri="http://schemas.openxmlformats.org/drawingml/2006/picture">
                <pic:pic>
                  <pic:nvPicPr>
                    <pic:cNvPr descr="../figures/S03_effective_dhw_depth_attenuation.png" id="230" name="Picture"/>
                    <pic:cNvPicPr>
                      <a:picLocks noChangeArrowheads="1" noChangeAspect="1"/>
                    </pic:cNvPicPr>
                  </pic:nvPicPr>
                  <pic:blipFill>
                    <a:blip r:embed="rId22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t>b</m:t>
            </m:r>
            <m:r>
              <m:t>a</m:t>
            </m:r>
            <m:r>
              <m:t>s</m:t>
            </m:r>
            <m:r>
              <m:t>e</m:t>
            </m:r>
          </m:sup>
        </m:sSup>
      </m:oMath>
      <w:r>
        <w:rPr>
          <w:b/>
          <w:bCs/>
        </w:rPr>
        <w:t xml:space="preserve"> </w:t>
      </w:r>
      <w:r>
        <w:rPr>
          <w:b/>
          <w:bCs/>
        </w:rPr>
        <w:t xml:space="preserve">and</w:t>
      </w:r>
      <w:r>
        <w:rPr>
          <w:b/>
          <w:bCs/>
        </w:rPr>
        <w:t xml:space="preserve"> </w:t>
      </w:r>
      <m:oMath>
        <m:sSup>
          <m:e>
            <m:r>
              <m:t>η</m:t>
            </m:r>
          </m:e>
          <m:sup>
            <m:r>
              <m:t>m</m:t>
            </m:r>
            <m:r>
              <m:t>i</m:t>
            </m:r>
            <m:r>
              <m:t>x</m:t>
            </m:r>
          </m:sup>
        </m:sSup>
      </m:oMath>
      <w:r>
        <w:rPr>
          <w:b/>
          <w:bCs/>
        </w:rPr>
        <w:t xml:space="preserve"> </w:t>
      </w:r>
      <w:r>
        <w:rPr>
          <w:b/>
          <w:bCs/>
        </w:rPr>
        <w:t xml:space="preserve">values.</w:t>
      </w:r>
      <w:r>
        <w:t xml:space="preserve"> </w:t>
      </w:r>
      <w:r>
        <w:t xml:space="preserve">The dotted line shows the 1:1 reference (no attenuation, i.e. surface conditions).</w:t>
      </w:r>
    </w:p>
    <w:bookmarkEnd w:id="231"/>
    <w:bookmarkEnd w:id="232"/>
    <w:bookmarkStart w:id="236"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4" name="Picture"/>
            <a:graphic>
              <a:graphicData uri="http://schemas.openxmlformats.org/drawingml/2006/picture">
                <pic:pic>
                  <pic:nvPicPr>
                    <pic:cNvPr descr="media/image9.png" id="235" name="Picture"/>
                    <pic:cNvPicPr>
                      <a:picLocks noChangeArrowheads="1" noChangeAspect="1"/>
                    </pic:cNvPicPr>
                  </pic:nvPicPr>
                  <pic:blipFill>
                    <a:blip r:embed="rId233"/>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6"/>
    <w:bookmarkEnd w:id="237"/>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9" Target="media/rId219.png" /><Relationship Type="http://schemas.openxmlformats.org/officeDocument/2006/relationships/image" Id="rId233" Target="media/rId233.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2026-08-19T07:05:23Z</dcterms:created>
  <dcterms:modified xsi:type="dcterms:W3CDTF">2026-08-19T07:05:23Z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