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bookmarkEnd w:id="223"/>
    <w:bookmarkStart w:id="227" w:name="disturbances-datasets"/>
    <w:p>
      <w:pPr>
        <w:pStyle w:val="Heading3"/>
      </w:pPr>
      <w:r>
        <w:t xml:space="preserve">7.5.3 Disturbances datasets</w:t>
      </w:r>
    </w:p>
    <w:p>
      <w:pPr>
        <w:pStyle w:val="FirstParagraph"/>
      </w:pPr>
      <w:r>
        <w:t xml:space="preserve">We used two separate disturbance datasets in calibration: maximum historical DHW values and cyclone/storm mortality rates. The former was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The latter was estimated by matching LTMP disturbance records (year and type of disturbance) with coral cover and benthic composition data to calculate mortality rates per functional group for each year and reef.</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2026-08-19T00:37:40Z</dcterms:created>
  <dcterms:modified xsi:type="dcterms:W3CDTF">2026-08-19T00:37:40Z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