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99D1" w14:textId="77777777" w:rsidR="00175726" w:rsidRDefault="004A60F9">
      <w:pPr>
        <w:pStyle w:val="Title"/>
      </w:pPr>
      <w:r>
        <w:t>Supplementary information - Exploring alternative Bayesian estimates of low- and no-effect concentration thresholds</w:t>
      </w:r>
    </w:p>
    <w:p w14:paraId="4CFF99D2" w14:textId="77777777" w:rsidR="00175726" w:rsidRDefault="004A60F9">
      <w:pPr>
        <w:pStyle w:val="Date"/>
      </w:pPr>
      <w:r>
        <w:t>29 October, 2021</w:t>
      </w:r>
    </w:p>
    <w:p w14:paraId="4CFF99D3" w14:textId="77777777" w:rsidR="00175726" w:rsidRDefault="004A60F9">
      <w:pPr>
        <w:pStyle w:val="FirstParagraph"/>
      </w:pPr>
      <w:r>
        <w:rPr>
          <w:b/>
        </w:rPr>
        <w:t>Authors:</w:t>
      </w:r>
    </w:p>
    <w:p w14:paraId="4CFF99D4" w14:textId="5397D2B6" w:rsidR="00175726" w:rsidRDefault="004A60F9">
      <w:pPr>
        <w:pStyle w:val="BodyText"/>
      </w:pPr>
      <w:r>
        <w:t>R. Fisher</w:t>
      </w:r>
      <w:r>
        <w:rPr>
          <w:vertAlign w:val="superscript"/>
        </w:rPr>
        <w:t>1,2</w:t>
      </w:r>
      <w:r>
        <w:t>, D.R. Fox</w:t>
      </w:r>
      <w:r>
        <w:rPr>
          <w:vertAlign w:val="superscript"/>
        </w:rPr>
        <w:t>3,4</w:t>
      </w:r>
      <w:r>
        <w:t>, A. Negri</w:t>
      </w:r>
      <w:r>
        <w:rPr>
          <w:vertAlign w:val="superscript"/>
        </w:rPr>
        <w:t>1</w:t>
      </w:r>
      <w:r>
        <w:t>, J. van Damn</w:t>
      </w:r>
      <w:r>
        <w:rPr>
          <w:vertAlign w:val="superscript"/>
        </w:rPr>
        <w:t>1</w:t>
      </w:r>
      <w:r>
        <w:t>, F. Flores</w:t>
      </w:r>
      <w:r>
        <w:rPr>
          <w:vertAlign w:val="superscript"/>
        </w:rPr>
        <w:t>1</w:t>
      </w:r>
    </w:p>
    <w:p w14:paraId="4CFF99D5" w14:textId="77777777" w:rsidR="00175726" w:rsidRDefault="004A60F9">
      <w:pPr>
        <w:pStyle w:val="BodyText"/>
      </w:pPr>
      <w:r>
        <w:rPr>
          <w:b/>
        </w:rPr>
        <w:t>Affiliations:</w:t>
      </w:r>
    </w:p>
    <w:p w14:paraId="4CFF99D6" w14:textId="1E017D64" w:rsidR="00175726" w:rsidRDefault="004A60F9">
      <w:pPr>
        <w:pStyle w:val="BodyText"/>
      </w:pPr>
      <w:r>
        <w:t>1 Australian Institute of Marine Science, Crawley, Australia</w:t>
      </w:r>
      <w:r>
        <w:br/>
        <w:t>2 University of Western Australia, Crawley, Australia</w:t>
      </w:r>
      <w:r>
        <w:br/>
        <w:t>3 Environmetrics Australia Pty Ltd, Beaumaris, Vic 3193, Australia</w:t>
      </w:r>
      <w:r>
        <w:br/>
        <w:t>4 University of Melbourne, Parkville 3010, Australia</w:t>
      </w:r>
      <w:r>
        <w:br/>
      </w:r>
    </w:p>
    <w:p w14:paraId="4CFF99D7" w14:textId="77777777" w:rsidR="00175726" w:rsidRDefault="004A60F9">
      <w:pPr>
        <w:pStyle w:val="BodyText"/>
      </w:pPr>
      <w:r>
        <w:rPr>
          <w:b/>
        </w:rPr>
        <w:t>Corresponding author:</w:t>
      </w:r>
      <w:r>
        <w:t xml:space="preserve"> Rebecca Fisher</w:t>
      </w:r>
    </w:p>
    <w:p w14:paraId="4CFF99D8" w14:textId="77777777" w:rsidR="00175726" w:rsidRDefault="004A60F9">
      <w:pPr>
        <w:pStyle w:val="BodyText"/>
      </w:pPr>
      <w:r>
        <w:rPr>
          <w:b/>
        </w:rPr>
        <w:t>Email:</w:t>
      </w:r>
      <w:r>
        <w:t xml:space="preserve"> </w:t>
      </w:r>
      <w:hyperlink r:id="rId7">
        <w:r>
          <w:rPr>
            <w:rStyle w:val="Hyperlink"/>
          </w:rPr>
          <w:t>r.fisher@AIMS.gov.au</w:t>
        </w:r>
      </w:hyperlink>
    </w:p>
    <w:p w14:paraId="4CFF9A21" w14:textId="77777777" w:rsidR="00175726" w:rsidRDefault="004A60F9">
      <w:pPr>
        <w:pStyle w:val="Heading1"/>
      </w:pPr>
      <w:bookmarkStart w:id="0" w:name="jagsnec-model-formulations"/>
      <w:r>
        <w:t>jagsNEC model formulations</w:t>
      </w:r>
    </w:p>
    <w:p w14:paraId="4CFF9A22" w14:textId="77777777" w:rsidR="00175726" w:rsidRDefault="004A60F9">
      <w:pPr>
        <w:pStyle w:val="FirstParagraph"/>
      </w:pPr>
      <w:r>
        <w:t>Where possible jagsNEC has aimed for consistency in the interpretable meaning of the individual parameters across models, and include:</w:t>
      </w:r>
    </w:p>
    <w:p w14:paraId="4CFF9A23" w14:textId="21418F72" w:rsidR="00175726" w:rsidRDefault="004A60F9">
      <w:pPr>
        <w:pStyle w:val="BodyText"/>
      </w:pPr>
      <m:oMath>
        <m:r>
          <w:rPr>
            <w:rFonts w:ascii="Cambria Math" w:hAnsi="Cambria Math"/>
          </w:rPr>
          <m:t>τ,</m:t>
        </m:r>
      </m:oMath>
      <w:r>
        <w:t xml:space="preserve"> usually interpretable as either the y-intercept or the upper plateau representing the mean concentration of the response at zero concentration;</w:t>
      </w:r>
    </w:p>
    <w:p w14:paraId="4CFF9A24" w14:textId="77777777" w:rsidR="00175726" w:rsidRDefault="004A60F9">
      <w:pPr>
        <w:pStyle w:val="BodyText"/>
      </w:pPr>
      <m:oMath>
        <m:r>
          <w:rPr>
            <w:rFonts w:ascii="Cambria Math" w:hAnsi="Cambria Math"/>
          </w:rPr>
          <m:t>η=</m:t>
        </m:r>
        <m:r>
          <m:rPr>
            <m:nor/>
          </m:rPr>
          <m:t>NEC</m:t>
        </m:r>
      </m:oMath>
      <w:r>
        <w:t>, the No-Effect-Concentration value (the x concentration value where the breakpoint in the regression is estimated at;</w:t>
      </w:r>
    </w:p>
    <w:p w14:paraId="4CFF9A25" w14:textId="77777777" w:rsidR="00175726" w:rsidRDefault="004A60F9">
      <w:pPr>
        <w:pStyle w:val="BodyText"/>
      </w:pPr>
      <m:oMath>
        <m:r>
          <w:rPr>
            <w:rFonts w:ascii="Cambria Math" w:hAnsi="Cambria Math"/>
          </w:rPr>
          <m:t>β=</m:t>
        </m:r>
        <m:r>
          <m:rPr>
            <m:nor/>
          </m:rPr>
          <m:t>beta</m:t>
        </m:r>
      </m:oMath>
      <w:r>
        <w:t xml:space="preserve">, generally the exponential decay rate of response, either from 0 concentration or from the estimated </w:t>
      </w:r>
      <m:oMath>
        <m:r>
          <w:rPr>
            <w:rFonts w:ascii="Cambria Math" w:hAnsi="Cambria Math"/>
          </w:rPr>
          <m:t>η</m:t>
        </m:r>
      </m:oMath>
      <w:r>
        <w:t xml:space="preserve"> value;</w:t>
      </w:r>
    </w:p>
    <w:p w14:paraId="4CFF9A26" w14:textId="77777777" w:rsidR="00175726" w:rsidRDefault="004A60F9">
      <w:pPr>
        <w:pStyle w:val="BodyText"/>
      </w:pPr>
      <m:oMath>
        <m:r>
          <w:rPr>
            <w:rFonts w:ascii="Cambria Math" w:hAnsi="Cambria Math"/>
          </w:rPr>
          <m:t>δ=</m:t>
        </m:r>
        <m:r>
          <m:rPr>
            <m:nor/>
          </m:rPr>
          <m:t>bottom</m:t>
        </m:r>
      </m:oMath>
      <w:r>
        <w:t>, representing the lower plateau for the response at infinite concentration;</w:t>
      </w:r>
    </w:p>
    <w:p w14:paraId="4CFF9A27" w14:textId="77777777" w:rsidR="00175726" w:rsidRDefault="004A60F9">
      <w:pPr>
        <w:pStyle w:val="BodyText"/>
      </w:pPr>
      <m:oMath>
        <m:r>
          <w:rPr>
            <w:rFonts w:ascii="Cambria Math" w:hAnsi="Cambria Math"/>
          </w:rPr>
          <m:t>ω</m:t>
        </m:r>
      </m:oMath>
      <w:r>
        <w:t xml:space="preserve"> = </w:t>
      </w:r>
      <m:oMath>
        <m:r>
          <m:rPr>
            <m:nor/>
          </m:rPr>
          <m:t>EC50</m:t>
        </m:r>
      </m:oMath>
      <w:r>
        <w:t xml:space="preserve"> notionally the 50% effect concentration but may be influenced by scaling and should therefore not be strictly interpreted, and</w:t>
      </w:r>
    </w:p>
    <w:p w14:paraId="4CFF9A28" w14:textId="77777777" w:rsidR="00175726" w:rsidRDefault="004A60F9">
      <w:pPr>
        <w:pStyle w:val="BodyText"/>
      </w:pPr>
      <w:r>
        <w:t xml:space="preserve">In addition to the model parameters, all </w:t>
      </w:r>
      <w:r>
        <w:rPr>
          <w:b/>
        </w:rPr>
        <w:t>NEC</w:t>
      </w:r>
      <w:r>
        <w:t>-containing models have a step function used to define the breakpoint in the regression, which can be defined as</w:t>
      </w:r>
    </w:p>
    <w:p w14:paraId="4CFF9A29" w14:textId="77777777" w:rsidR="00175726" w:rsidRDefault="004A60F9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,η)=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-η&lt;0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-η≥0</m:t>
                    </m:r>
                  </m:e>
                </m:mr>
              </m:m>
            </m:e>
          </m:d>
        </m:oMath>
      </m:oMathPara>
    </w:p>
    <w:p w14:paraId="4CFF9A2A" w14:textId="77777777" w:rsidR="00175726" w:rsidRDefault="004A60F9">
      <w:pPr>
        <w:pStyle w:val="Heading2"/>
      </w:pPr>
      <w:bookmarkStart w:id="1" w:name="ecx-models"/>
      <w:r>
        <w:rPr>
          <w:i/>
        </w:rPr>
        <w:lastRenderedPageBreak/>
        <w:t>ECx</w:t>
      </w:r>
      <w:r>
        <w:t xml:space="preserve"> models</w:t>
      </w:r>
    </w:p>
    <w:p w14:paraId="4CFF9A2B" w14:textId="77777777" w:rsidR="00175726" w:rsidRDefault="004A60F9">
      <w:pPr>
        <w:pStyle w:val="FirstParagraph"/>
      </w:pPr>
      <w:r>
        <w:t xml:space="preserve">The </w:t>
      </w:r>
      <w:r>
        <w:rPr>
          <w:b/>
        </w:rPr>
        <w:t>ECxExp</w:t>
      </w:r>
      <w:r>
        <w:t xml:space="preserve"> model is a basic exponential decay model, given by the equation:</w:t>
      </w:r>
    </w:p>
    <w:p w14:paraId="4CFF9A2C" w14:textId="77777777" w:rsidR="00175726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</w:rPr>
            <m:t>  (1)</m:t>
          </m:r>
        </m:oMath>
      </m:oMathPara>
    </w:p>
    <w:p w14:paraId="4CFF9A2D" w14:textId="77777777" w:rsidR="00175726" w:rsidRDefault="004A60F9">
      <w:pPr>
        <w:pStyle w:val="FirstParagraph"/>
      </w:pPr>
      <w:r>
        <w:t xml:space="preserve">The </w:t>
      </w:r>
      <w:r>
        <w:rPr>
          <w:b/>
        </w:rPr>
        <w:t>ECxSigmoidal</w:t>
      </w:r>
      <w:r>
        <w:t xml:space="preserve"> model is a simple sigmoidal decay model, given by the equation:</w:t>
      </w:r>
    </w:p>
    <w:p w14:paraId="4CFF9A2E" w14:textId="77777777" w:rsidR="00175726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ϵ</m:t>
                      </m:r>
                    </m:sup>
                  </m:sSup>
                </m:sup>
              </m:sSubSup>
            </m:sup>
          </m:sSup>
          <m:r>
            <w:rPr>
              <w:rFonts w:ascii="Cambria Math" w:hAnsi="Cambria Math"/>
            </w:rPr>
            <m:t>  (2)</m:t>
          </m:r>
        </m:oMath>
      </m:oMathPara>
    </w:p>
    <w:p w14:paraId="4CFF9A2F" w14:textId="77777777" w:rsidR="00175726" w:rsidRDefault="004A60F9">
      <w:pPr>
        <w:pStyle w:val="FirstParagraph"/>
      </w:pPr>
      <w:r>
        <w:t xml:space="preserve">The </w:t>
      </w:r>
      <w:r>
        <w:rPr>
          <w:b/>
        </w:rPr>
        <w:t>ECx4param</w:t>
      </w:r>
      <w:r>
        <w:t xml:space="preserve"> model is a 4-parameter sigmoidal decay model, given by the equation:</w:t>
      </w:r>
    </w:p>
    <w:p w14:paraId="4CFF9A30" w14:textId="77777777" w:rsidR="00175726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τ+(δ-τ)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β(ω-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  (3)</m:t>
          </m:r>
        </m:oMath>
      </m:oMathPara>
    </w:p>
    <w:p w14:paraId="4CFF9A31" w14:textId="77777777" w:rsidR="00175726" w:rsidRDefault="004A60F9">
      <w:pPr>
        <w:pStyle w:val="FirstParagraph"/>
      </w:pPr>
      <w:r>
        <w:t xml:space="preserve">The </w:t>
      </w:r>
      <w:r>
        <w:rPr>
          <w:b/>
        </w:rPr>
        <w:t>ECxWeibull1</w:t>
      </w:r>
      <w:r>
        <w:t xml:space="preserve"> model is a 4-parameter sigmoidal decay model which is a slight reformulation of the Weibull1 model of Ritz et al. (2016), given by the equation:</w:t>
      </w:r>
    </w:p>
    <w:p w14:paraId="4CFF9A32" w14:textId="77777777" w:rsidR="00175726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=δ+(τ-δ)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-ω)</m:t>
                  </m:r>
                </m:sup>
              </m:sSup>
            </m:sup>
          </m:sSup>
          <m:r>
            <w:rPr>
              <w:rFonts w:ascii="Cambria Math" w:hAnsi="Cambria Math"/>
            </w:rPr>
            <m:t>  (4)</m:t>
          </m:r>
        </m:oMath>
      </m:oMathPara>
    </w:p>
    <w:p w14:paraId="4CFF9A33" w14:textId="77777777" w:rsidR="00175726" w:rsidRDefault="004A60F9">
      <w:pPr>
        <w:pStyle w:val="FirstParagraph"/>
      </w:pPr>
      <w:r>
        <w:t xml:space="preserve">The </w:t>
      </w:r>
      <w:r>
        <w:rPr>
          <w:b/>
        </w:rPr>
        <w:t>ECxWeibull2</w:t>
      </w:r>
      <w:r>
        <w:t xml:space="preserve"> model is a 4-parameter sigmoidal decay model which is a slight reformulation of the Weibull2 model of Ritz et al. (2016), given by the equation:</w:t>
      </w:r>
    </w:p>
    <w:p w14:paraId="4CFF9A34" w14:textId="77777777" w:rsidR="00175726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=δ+(τ-δ)(1-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-ω)</m:t>
                  </m:r>
                </m:sup>
              </m:sSup>
            </m:sup>
          </m:sSup>
          <m:r>
            <w:rPr>
              <w:rFonts w:ascii="Cambria Math" w:hAnsi="Cambria Math"/>
            </w:rPr>
            <m:t>)  (5)</m:t>
          </m:r>
        </m:oMath>
      </m:oMathPara>
    </w:p>
    <w:p w14:paraId="4CFF9A35" w14:textId="77777777" w:rsidR="00175726" w:rsidRDefault="004A60F9">
      <w:pPr>
        <w:pStyle w:val="Heading2"/>
      </w:pPr>
      <w:bookmarkStart w:id="2" w:name="nec-models"/>
      <w:bookmarkEnd w:id="1"/>
      <w:r>
        <w:rPr>
          <w:i/>
        </w:rPr>
        <w:t>NEC</w:t>
      </w:r>
      <w:r>
        <w:t xml:space="preserve"> models</w:t>
      </w:r>
    </w:p>
    <w:p w14:paraId="4CFF9A36" w14:textId="77777777" w:rsidR="00175726" w:rsidRDefault="004A60F9">
      <w:pPr>
        <w:pStyle w:val="FirstParagraph"/>
      </w:pPr>
      <w:r>
        <w:t xml:space="preserve">The </w:t>
      </w:r>
      <w:r>
        <w:rPr>
          <w:b/>
        </w:rPr>
        <w:t>NEC3param</w:t>
      </w:r>
      <w:r>
        <w:t xml:space="preserve"> model is a basic exponential decay model equivalent to </w:t>
      </w:r>
      <w:r>
        <w:rPr>
          <w:b/>
        </w:rPr>
        <w:t>ECxexp</w:t>
      </w:r>
      <w:r>
        <w:t xml:space="preserve"> with the addition of the “NEC” step function. This is the original model of Fox (2010) given by the equation:</w:t>
      </w:r>
    </w:p>
    <w:p w14:paraId="4CFF9A37" w14:textId="77777777" w:rsidR="00175726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-η</m:t>
                  </m:r>
                </m:e>
              </m:d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,η)</m:t>
              </m:r>
            </m:sup>
          </m:sSup>
          <m:r>
            <w:rPr>
              <w:rFonts w:ascii="Cambria Math" w:hAnsi="Cambria Math"/>
            </w:rPr>
            <m:t>  (6)</m:t>
          </m:r>
        </m:oMath>
      </m:oMathPara>
    </w:p>
    <w:p w14:paraId="4CFF9A38" w14:textId="77777777" w:rsidR="00175726" w:rsidRDefault="004A60F9">
      <w:pPr>
        <w:pStyle w:val="FirstParagraph"/>
      </w:pPr>
      <w:r>
        <w:t xml:space="preserve">The </w:t>
      </w:r>
      <w:r>
        <w:rPr>
          <w:b/>
        </w:rPr>
        <w:t>NEC4param</w:t>
      </w:r>
      <w:r>
        <w:t xml:space="preserve"> model is a 3-parameter decay model with the addition of the “NEC” step function, given by the equation:</w:t>
      </w:r>
    </w:p>
    <w:p w14:paraId="4CFF9A39" w14:textId="77777777" w:rsidR="00175726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=δ+(τ-δ)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-η</m:t>
                  </m:r>
                </m:e>
              </m:d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,η)</m:t>
              </m:r>
            </m:sup>
          </m:sSup>
          <m:r>
            <w:rPr>
              <w:rFonts w:ascii="Cambria Math" w:hAnsi="Cambria Math"/>
            </w:rPr>
            <m:t>  (7)</m:t>
          </m:r>
        </m:oMath>
      </m:oMathPara>
    </w:p>
    <w:p w14:paraId="4CFF9A3A" w14:textId="77777777" w:rsidR="00175726" w:rsidRDefault="004A60F9">
      <w:pPr>
        <w:pStyle w:val="Heading1"/>
      </w:pPr>
      <w:bookmarkStart w:id="3" w:name="alternative-sigmoidal-nec-model"/>
      <w:bookmarkEnd w:id="0"/>
      <w:bookmarkEnd w:id="2"/>
      <w:r>
        <w:t>Alternative sigmoidal NEC model</w:t>
      </w:r>
    </w:p>
    <w:p w14:paraId="4CFF9A3B" w14:textId="77777777" w:rsidR="00175726" w:rsidRDefault="004A60F9">
      <w:pPr>
        <w:pStyle w:val="FirstParagraph"/>
      </w:pPr>
      <w:r>
        <w:t>We explored the utility of an expanded NEC model that allows a sigmoidal curve following the NEC-step point:</w:t>
      </w:r>
    </w:p>
    <w:p w14:paraId="4CFF9A3C" w14:textId="77777777" w:rsidR="00175726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ϵ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-η</m:t>
                  </m:r>
                </m:e>
              </m:d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,η)</m:t>
              </m:r>
            </m:sup>
          </m:sSup>
          <m:r>
            <w:rPr>
              <w:rFonts w:ascii="Cambria Math" w:hAnsi="Cambria Math"/>
            </w:rPr>
            <m:t>  (8)</m:t>
          </m:r>
        </m:oMath>
      </m:oMathPara>
    </w:p>
    <w:p w14:paraId="4CFF9A3D" w14:textId="5E17CAEC" w:rsidR="00175726" w:rsidRDefault="004A60F9">
      <w:pPr>
        <w:pStyle w:val="FirstParagraph"/>
      </w:pPr>
      <w:r>
        <w:t xml:space="preserve">which has the same parameters as the NEC 3 parameter model (equation (6)), but with an additional parameter </w:t>
      </w:r>
      <m:oMath>
        <m:r>
          <w:rPr>
            <w:rFonts w:ascii="Cambria Math" w:hAnsi="Cambria Math"/>
          </w:rPr>
          <m:t>ϵ</m:t>
        </m:r>
      </m:oMath>
      <w:r>
        <w:t xml:space="preserve">. With the exception of </w:t>
      </w:r>
      <w:r>
        <w:rPr>
          <w:i/>
        </w:rPr>
        <w:t>A. millepora</w:t>
      </w:r>
      <w:r>
        <w:t xml:space="preserve">, NEC estimates using this sigmoidal NEC model were highly unresolved, despite the model yielding a relatively good fit to the data (Fig. </w:t>
      </w:r>
      <w:r w:rsidR="003D5C1E">
        <w:t>S1</w:t>
      </w:r>
      <w:r>
        <w:t>).</w:t>
      </w:r>
    </w:p>
    <w:p w14:paraId="4CFF9A3E" w14:textId="77777777" w:rsidR="00175726" w:rsidRDefault="004A60F9">
      <w:r>
        <w:rPr>
          <w:noProof/>
        </w:rPr>
        <w:lastRenderedPageBreak/>
        <w:drawing>
          <wp:inline distT="0" distB="0" distL="0" distR="0" wp14:anchorId="4CFF9A46" wp14:editId="4CFF9A47">
            <wp:extent cx="5943600" cy="5943600"/>
            <wp:effectExtent l="0" t="0" r="0" b="0"/>
            <wp:docPr id="2" name="Picture" descr="Figure 2: Concentration response relationships for the effects of 40% weathered Ichthys condensate WAF on four tropical marine species. Measured time-weighted average concentrations are expressed as µg/L Total Aromatic Hydrocarbons (TAH) on a log scale. Solid black lines are Bayesian NEC-sigmoidal beta model fits with 95% credible intervals indicated by dashed black lines. The fit is for the . Binomial response data are the proportion of successes (A. millepora, and S. variolaris); growth rate response data taking values &gt;1 are normalised relative to the maximum value (N. dorsatus); and growth rate response data taking values &lt;1 are modelled on the original scale (A. amphitrite). The vertical red lines indicate the estimated NEC with 95% confidence intervals (dashed lines based on posterior predictions)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EC_supplemental_files/figure-docx/plot-sigmoida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FF9A3F" w14:textId="51D0A03E" w:rsidR="00175726" w:rsidRDefault="004A60F9">
      <w:pPr>
        <w:pStyle w:val="ImageCaption"/>
      </w:pPr>
      <w:r>
        <w:t xml:space="preserve">Figure </w:t>
      </w:r>
      <w:r w:rsidR="003D5C1E">
        <w:t>S1</w:t>
      </w:r>
      <w:r>
        <w:t>: Concentration response relationships for the effects of 40% weathered Ichthys condensate WAF on four tropical marine species. Measured time-weighted average concentrations are expressed as µg/L Total Aromatic Hydrocarbons (TAH) on a log scale. Solid black lines are Bayesian NEC-sigmoidal beta model fits with 95% credible intervals indicated by dashed black lines. The fit is for the . Binomial response data are the proportion of successes (A. millepora, and S. variolaris); growth rate response data taking values &gt;1 are normalised relative to the maximum value (N. dorsatus); and growth rate response data taking values &lt;1 are modelled on the original scale (A. amphitrite). The vertical red lines indicate the estimated NEC with 95% confidence intervals (dashed lines based on posterior predictions).</w:t>
      </w:r>
    </w:p>
    <w:p w14:paraId="4CFF9A40" w14:textId="77777777" w:rsidR="00175726" w:rsidRDefault="004A60F9">
      <w:pPr>
        <w:pStyle w:val="Heading1"/>
      </w:pPr>
      <w:bookmarkStart w:id="4" w:name="references"/>
      <w:bookmarkEnd w:id="3"/>
      <w:r>
        <w:lastRenderedPageBreak/>
        <w:t>References</w:t>
      </w:r>
    </w:p>
    <w:p w14:paraId="4CFF9A41" w14:textId="77777777" w:rsidR="00175726" w:rsidRDefault="004A60F9">
      <w:pPr>
        <w:pStyle w:val="Bibliography"/>
      </w:pPr>
      <w:bookmarkStart w:id="5" w:name="ref-Fisher2020"/>
      <w:bookmarkStart w:id="6" w:name="refs"/>
      <w:r>
        <w:t xml:space="preserve">Fisher, R., Ricardo, G., Fox, D., 2020. Bayesian concentration-response modelling using jagsNEC. </w:t>
      </w:r>
      <w:hyperlink r:id="rId9">
        <w:r>
          <w:rPr>
            <w:rStyle w:val="Hyperlink"/>
          </w:rPr>
          <w:t>https://doi.org/10.5281/ZENODO.3966864</w:t>
        </w:r>
      </w:hyperlink>
    </w:p>
    <w:p w14:paraId="4CFF9A42" w14:textId="77777777" w:rsidR="00175726" w:rsidRDefault="004A60F9">
      <w:pPr>
        <w:pStyle w:val="Bibliography"/>
      </w:pPr>
      <w:bookmarkStart w:id="7" w:name="ref-Fox2010"/>
      <w:bookmarkEnd w:id="5"/>
      <w:r>
        <w:t>Fox, D.R., 2010. A Bayesian approach for determining the no effect concentration and hazardous concentration in ecotoxicology. Ecotoxicology and environmental safety 73, 123–131.</w:t>
      </w:r>
    </w:p>
    <w:p w14:paraId="4CFF9A43" w14:textId="77777777" w:rsidR="00175726" w:rsidRDefault="004A60F9">
      <w:pPr>
        <w:pStyle w:val="Bibliography"/>
      </w:pPr>
      <w:bookmarkStart w:id="8" w:name="ref-Ritz2016"/>
      <w:bookmarkEnd w:id="7"/>
      <w:r>
        <w:t xml:space="preserve">Ritz, C., Baty, F., Streibig, J.C., Gerhard, D., 2016. Dose-response analysis using r. PLoS ONE 10, e0146021. </w:t>
      </w:r>
      <w:hyperlink r:id="rId10">
        <w:r>
          <w:rPr>
            <w:rStyle w:val="Hyperlink"/>
          </w:rPr>
          <w:t>https://doi.org/10.1371/journal.pone.0146021</w:t>
        </w:r>
      </w:hyperlink>
      <w:bookmarkEnd w:id="4"/>
      <w:bookmarkEnd w:id="6"/>
      <w:bookmarkEnd w:id="8"/>
    </w:p>
    <w:sectPr w:rsidR="001757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2C296" w14:textId="77777777" w:rsidR="00726A17" w:rsidRDefault="00726A17">
      <w:pPr>
        <w:spacing w:after="0"/>
      </w:pPr>
      <w:r>
        <w:separator/>
      </w:r>
    </w:p>
  </w:endnote>
  <w:endnote w:type="continuationSeparator" w:id="0">
    <w:p w14:paraId="496B243C" w14:textId="77777777" w:rsidR="00726A17" w:rsidRDefault="00726A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B7D0D" w14:textId="77777777" w:rsidR="00726A17" w:rsidRDefault="00726A17">
      <w:r>
        <w:separator/>
      </w:r>
    </w:p>
  </w:footnote>
  <w:footnote w:type="continuationSeparator" w:id="0">
    <w:p w14:paraId="710D7E85" w14:textId="77777777" w:rsidR="00726A17" w:rsidRDefault="0072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710C6F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AE401"/>
    <w:multiLevelType w:val="multilevel"/>
    <w:tmpl w:val="EB6636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A9A98B2"/>
    <w:multiLevelType w:val="multilevel"/>
    <w:tmpl w:val="3DAEAF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03564452">
    <w:abstractNumId w:val="0"/>
  </w:num>
  <w:num w:numId="2" w16cid:durableId="911740136">
    <w:abstractNumId w:val="2"/>
  </w:num>
  <w:num w:numId="3" w16cid:durableId="191620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5726"/>
    <w:rsid w:val="00203FD4"/>
    <w:rsid w:val="003D5C1E"/>
    <w:rsid w:val="004A60F9"/>
    <w:rsid w:val="004E29B3"/>
    <w:rsid w:val="00590D07"/>
    <w:rsid w:val="005F1A85"/>
    <w:rsid w:val="00726A17"/>
    <w:rsid w:val="00784D58"/>
    <w:rsid w:val="008D6863"/>
    <w:rsid w:val="008F5ACC"/>
    <w:rsid w:val="00B86B75"/>
    <w:rsid w:val="00BC48D5"/>
    <w:rsid w:val="00C36279"/>
    <w:rsid w:val="00E315A3"/>
    <w:rsid w:val="00E63B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99D1"/>
  <w15:docId w15:val="{FCC51581-5B82-4D98-834A-A3307516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.fisher@AIMS.gov.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1371/journal.pone.0146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5281/ZENODO.39668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information - Exploring alternative Bayesian estimates of low- and no-effect concentration thresholds</dc:title>
  <dc:creator>Rebecca Fisher</dc:creator>
  <cp:keywords/>
  <cp:lastModifiedBy>Rebecca Fisher</cp:lastModifiedBy>
  <cp:revision>3</cp:revision>
  <dcterms:created xsi:type="dcterms:W3CDTF">2023-03-10T06:19:00Z</dcterms:created>
  <dcterms:modified xsi:type="dcterms:W3CDTF">2023-03-10T06:20:00Z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journal.csl</vt:lpwstr>
  </property>
  <property fmtid="{D5CDD505-2E9C-101B-9397-08002B2CF9AE}" pid="5" name="date">
    <vt:lpwstr>29 October, 2021</vt:lpwstr>
  </property>
  <property fmtid="{D5CDD505-2E9C-101B-9397-08002B2CF9AE}" pid="6" name="output">
    <vt:lpwstr/>
  </property>
</Properties>
</file>