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Delaware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in its customer, vendor, referral-source, and business-partner relationships,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listed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no broader than reasonable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Employee signs this agreement after employment begins, Employer provides continued employment and any additional value identified in connection with this signing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reasonable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reasonable to protect Employer's goodwill in those customer, vendor, referral-source, and business-partner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no broader than reasonable to protect Employer's Protected Interests,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drawn no broader than reasonable to advance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Employee's right to practice medicine in a particular locale or for a defined period after termination. Employee remains responsible for any agreed damages reasonably related to injury caused by termination, including damages related to competition.</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Employee to execute a covenant not to compete with, or pay any fee, charge, or other thing of value to, a supervising licensed home inspector as a condition of satisfying the trainee requirements. This carve-out does not alter the covenants as applied to any other worker.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nothing in this agreement waives non-waivable restrictions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carrying forward a restrictive covenant must identify the consideration supporting that amendment.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