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non-compete provision to the employee in writing. For a valid highly compensated employee non-compete the employer must provide it at least 14 days before the individual commences employment, or, for a current employee, at least 14 days before the employee must execute the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District of Columbia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365 calendar days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the Employee performed work for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services, roles, industry, or competing entities the employee is restricted from performing work in or on behalf of. Section 32-581.03(a)(1)(A) makes a stated functional scope a condition of a valid highly compensated employee non-compete.]</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 is excluded from this category.</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protects Employer's Protected Interests.</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Any Non-Competition covenant in this agreement does not apply unless Employee's compensation equals or exceeds </w:t>
      </w:r>
      <w:r>
        <w:rPr>
          <w:b w:val="0"/>
          <w:bCs w:val="0"/>
        </w:rPr>
        <w:t xml:space="preserve">$162,164</w:t>
      </w:r>
      <w:r>
        <w:t xml:space="preserve"> and Employee satisfies the objective work-location conditions stated in this agreement. The confidentiality, non-solicitation, and non-disparagement obligations below do not depend on those conditions.</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Employer provided the provision to Employee in writing on the Advance Delivery Date listed in Cover Terms, at least 14 days before Employee commenced employment or, if Employer already employed Employee, at least 14 days before Employee had to execute this agreement. Employer will provide any other notice or written disclosure required by applicable law.</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any District of Columbia agency,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It is confined to Employee's own solicitation of Covered Employees and does not restrict the mobility of Employer's workforce generally.</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performing work for another for pay or operating Employee's own business.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does not apply unless Employee's compensation equals or exceeds </w:t>
      </w:r>
      <w:r>
        <w:rPr>
          <w:b w:val="0"/>
          <w:bCs w:val="0"/>
        </w:rPr>
        <w:t xml:space="preserve">$162,164</w:t>
      </w:r>
      <w:r>
        <w:t xml:space="preserve">. The restriction is limited to the services, roles, industry, or competing entities set out in Cover Terms under Competitive Business and any Specified Competitors, and to the Restricted Territory. The restriction may not exceed 365 calendar days from separation, or 730 calendar days if Employee is a Medical Specialist.</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Where no competitors are named, the functional scope is limited to the Competitive Business described in Cover Terms.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No provision of this agreement applies as a sale-of-business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a confidentiality or trade-secret duty in this agreement to a prospective employer or business associate of Employee. Employer may disclose a Non-Competition covenant only if Employee satisfies the compensation and work-location conditions stated in this agreement and the covenant remains within its stated duration, territory, and functional scope.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Non-Competition covenant's total restraint stays within the applicable 365-calendar-day or 730-calendar-day cap measured from the date Employee separates from employment (D.C. Code § 32-581.03(a)(1)(C)).</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 will not seek to enforce a non-compete when Employee does not satisfy the compensation and work-location conditions stated in this agreement.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expires 365 calendar days after separation, or 730 calendar days after separation if Employee is a Medical Specialist, unless Cover Terms specify a shorter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assignment does not validate any void non-compete provision or convert an employee-side covenant into a sale-of-business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performs the majority of work for Employer in the District, the parties select District of Columbia law and a District of Columbia forum for disputes over the enforceability of the covenants. Any valid collective bargaining agreement governing the relationship controls.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delivered within any notice period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