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Hawaii</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rPr>
              <w:t xml:space="preserve">false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1D2021"/>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genuinely confidential information, special customer relationships, workforce stability, and specialized training that provides skills beyond those of a general nature when combined with one or more of those other interests.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Each restrictive covenant in this agreement protects one or more of Employer's Protected Interests and is reasonably limited in scope and duration.</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Employer provides Employee's employment or continued employment, compensation, and access to Employer's Confidential Information and Trade Secrets in exchange for Employee's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This covenant does not apply if Employer is a technology business as indicated in Cover Terms.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restriction applies only when Employee actively initiates the contact.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does not apply if Employer is a technology business as indicated in Cover Terms.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Technology-Business Exclusion</w:t>
      </w:r>
    </w:p>
    <w:p>
      <w:pPr>
        <w:pStyle w:val="OABody"/>
        <w:spacing w:before="0" w:after="120" w:line="340" w:lineRule="auto"/>
        <w:ind w:left="720"/>
      </w:pPr>
      <w:r>
        <w:t xml:space="preserve">If Employer is a technology business as indicated in Cover Terms, the non-competition and employee non-solicitation covenants do not apply. The Confidential Information and Trade Secret Protection covenant remains in effect.</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Employee enters into a covenant as the transferor of a business in connection with its sale, that covenant is limited to the area and period stated in the applicable sale agreement.</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No separate physician-specific restriction applies under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an obligation then in effect under this agreement.</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to the extent permitted by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subject to this agreement's existing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Hawaii employment relationship the parties select Hawaii law and a Hawaii forum.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