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{employer_is_technology_business}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genuinely confidential information, special customer relationships, workforce stability, and specialized training that provides skills beyond those of a general nature when combined with one or more of those other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protects one or more of Employer's Protected Interests and is reasonably limited in scope and duration.</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Employer provides Employee's employment or continued employment, compensation, and access to Employer's Confidential Information and Trade Secrets in exchange for Employee's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does not apply if Employer is a technology business as indicated in Cover Terms.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restriction applies only when Employee actively initiates the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does not apply if Employer is a technology business as indicated in Cover Terms.</w:t>
      </w:r>
    </w:p>
    <w:p>
      <w:r>
        <w:t xml:space="preserve">{END-IF}</w:t>
      </w:r>
    </w:p>
    <w:p>
      <w:r>
        <w:t xml:space="preserve">{IF specified_competitors}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Technology-Business Exclusion</w:t>
      </w:r>
    </w:p>
    <w:p>
      <w:pPr>
        <w:pStyle w:val="OABody"/>
        <w:spacing w:before="0" w:after="120" w:line="340" w:lineRule="auto"/>
        <w:ind w:left="720"/>
      </w:pPr>
      <w:r>
        <w:t xml:space="preserve">If Employer is a technology business as indicated in Cover Terms, the non-competition and employee non-solicitation covenants do not apply. The Confidential Information and Trade Secret Protection covenant remains in effect.</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Employee enters into a covenant as the transferor of a business in connection with its sale, that covenant is limited to the area and period stated in the applicable sale agreement.</w:t>
      </w:r>
    </w:p>
    <w:p>
      <w:r>
        <w:t xml:space="preserve">{IF worker_is_physician}</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No separate physician-specific restriction applies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an obligation then in effect under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to the extent permitted by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subject to this agreement's existing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