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Independent Consideration</w:t>
            </w:r>
          </w:p>
        </w:tc>
        <w:tc>
          <w:tcPr>
            <w:tcW w:w="6480" w:type="dxa"/>
            <w:tcMar>
              <w:top w:w="60" w:type="dxa"/>
              <w:left w:w="0" w:type="dxa"/>
              <w:bottom w:w="60" w:type="dxa"/>
              <w:right w:w="0" w:type="dxa"/>
            </w:tcMar>
          </w:tcPr>
          <w:p>
            <w:r>
              <w:rPr>
                <w:rFonts w:ascii="Arial" w:hAnsi="Arial" w:cs="Arial"/>
                <w:color w:val="1D2021"/>
                <w:sz w:val="22"/>
                <w:szCs w:val="22"/>
              </w:rPr>
              <w:t xml:space="preserve">a signing bonus, access to Employer's confidential information and customer relationships, and specialized training</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Missouri</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whom Employee actually serviced, solicited, or had substantial contact with, or for whom Employee had responsibility, during the </w:t>
      </w:r>
      <w:r>
        <w:rPr>
          <w:b w:val="0"/>
          <w:bCs w:val="0"/>
        </w:rPr>
        <w:t xml:space="preserve">12 months</w:t>
      </w:r>
      <w:r>
        <w:t xml:space="preserve"> before termination of employment. Covered Customers does not include a customer with whom Employee had no such relationship, and does not include a prospective customer Employee never serviced.</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and goodwill in customer relationships with which Employee had substantial contact and an opportunity to influence.</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derives independent economic value from not being generally known or readily ascertainable and that Employer takes reasonable measures to keep secret.</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intended to protect one or more of Employer's Protected Interests and to impose no restraint greater than is necessary to protect that interest. The parties acknowledge that Employer would not provide Employee with access to its trade secrets and customer relationships absent the protections in this agreement. Each covenant is intended to be no more restrictive than is necessary to protect a Protected Interest.</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The parties acknowledge that this agreement is supported by adequate and independent consideration, namely </w:t>
      </w:r>
      <w:r>
        <w:rPr>
          <w:b w:val="0"/>
          <w:bCs w:val="0"/>
        </w:rPr>
        <w:t xml:space="preserve">a signing bonus, access to Employer's confidential information and customer relationships, and specialized training</w:t>
      </w:r>
      <w:r>
        <w:t xml:space="preserve">, conferred on Employee in exchange for Employee's assent to the covenants in this agreement.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which must not exceed one year for this covenant, Employee must not Solicit, recruit, hire, or attempt to hire any Covered Employee, or otherwise interfere with the employment of any Covered Employee. This restriction does not prohibit Employee from providing a professional reference upon request or from hiring a person who responds to a general advertisement not directed specifically at Employer's employees. This covenant does not apply to any Covered Employee who provided only secretarial or clerical services.</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applies only to Covered Customers whom Employee actually serviced or had substantial contact with.</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covenant applies only to Covered Customers whom Employee actually serviced or had substantial contact with.</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If Specified Competitors are listed in Cover Terms, Competitive Business is limited to those competitors.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or other health care practitioner, each restriction applies only during the Restricted Period and within the Restricted Territory stated in Cover Terms.</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up to a maximum extension equal to the original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including relief under the Missouri Uniform Trade Secrets Act for actual or threatened misappropriation of a trade secret.</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Each covenant's survival period runs independently for the duration specified for that covenant in Cover Terms.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 An assignee takes this agreement subject to the same limits and acquires no greater rights than Employer holds under it.</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(Missouri)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(Missouri)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(Missouri)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