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and Trade Secrets and Employer's goodwill in its customer, vendor, referral-source, and business-partner relationships.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protects one or more of Employer's Protected Interests. Employer would not provide Employee with access to these Protected Interests absent the protections in this agreement. Each covenant is limited to the time, territory, and scope stated in this agreement.</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This agreement is supported by Employee's continued employment or, if signed at the outset of employment, Employer's offer of employment. Employee acknowledges having had the opportunity to consult with independent legal counsel before signing this agreement. Employee acknowledges that the restrictions in this agreement are reasonable and necessary to protect Employer's Protected Interests.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in perpetuity, for as long as the information remains a trade secret. Employee's obligations regarding other Confidential Information continue for the period specified in Cover Terms. This confidentiality obligation is intended to operate alongside, and independent of, any restrictive covenant,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 This covenant reaches only Covered Employees during the Restricted Period and is no broader than necessary to protect Employer's workforce stability and goodwill.</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reaches only Covered Customers with whom Employee had material contact and is no broader than necessary to protect Employer's goodwill in its customer relationships.</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with whom Employee had material contact, regardless of who initiates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If Specified Competitors are listed in Cover Terms, Competitive Business is limited to those competitors.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r>
        <w:t xml:space="preserve">{IF worker_is_physician}</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No covenant in this agreement restricts a licensed healthcare professional from practicing beyond the Restricted Period or outside the Restricted Territory stated in Cover Terms.</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the breach continues. The extension may not exceed the number of days during which the breach continued.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including any remedy available under applicable trade-secret law for actual or threatened misappropriation of a trade secret.</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 Each covenant's duration is stated in Cover Terms, and no covenant is intended to revive after its stated term has run.</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Employer may assign this agreement to a successor in connection with a sale of its business.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This agreement does not impose a covenant not to compete as a condition of a barbering or cosmetology school's training for licensure, and it does not restrict a lawyer's right to practice after termination of the relationship except as to benefits upon retirement, nor make any restriction on a lawyer's right to practice part of the settlement of a client controversy.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(Vermont)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(Vermont)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(Vermont)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