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or had material customer contact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is ancillary to their employment relationship, is supported by one or more of Employer's Protected Interests, and is limited in time and scope to protect those interests.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enters into the restrictive covenants in consideration of Employee's continued employment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applicable law.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with whom Employee had material contact.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Where no geographic restriction is stated, the covenant is limited by the Covered Customer, activity, and Competitive Business definitions. The Restricted Period must not exceed two years after termination. Passive Public Holdings are permitted. This covenant does not restrict a physician's right to practice within the physician's scope of practice.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restricts the right of a physician licensed to practice medicine or osteopathy in Arkansas to practice within the physician's scope of practice. Obligations that do not restrict that right, including confidentiality, trade-secret, property-return, and non-disparagement obligations, remain in effect.</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If Employee holds a professional license under Arkansas law, no covenant restricts Employee from practicing that licensed profession to the extent prohibited by applicable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notice to obligations then in effect under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Any tolling is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 covenant not to compete may cause irreparable harm for which money damages would be inadequate.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may enforce an assigned covenant only to the extent the Protected Interests the covenant protects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