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Florida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and agree that the restrictive covenants in this agreement are supported by, and reasonably necessary to protect, one or more of Employer's Protected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protects Employer's substantial relationships with specific prospective or existing customers, patients, or clients and the associated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and one entity, directly or through related entities, employs or contracts with all physicians practicing Employee's specialty in the county, the non-compete does not apply. This exclusion continues for three years after another entity begins offering that specialty in the county.</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w:t>
      </w:r>
    </w:p>
    <w:p>
      <w:pPr>
        <w:pStyle w:val="OABody"/>
        <w:spacing w:before="0" w:after="120" w:line="340" w:lineRule="auto"/>
        <w:ind w:left="720"/>
      </w:pPr>
      <w:r>
        <w:t xml:space="preserve">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Protected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Employer and Employee agree to a garden-leave notice period of </w:t>
      </w:r>
      <w:r>
        <w:rPr>
          <w:b w:val="0"/>
          <w:bCs w:val="0"/>
        </w:rPr>
        <w:t xml:space="preserve">6 months</w:t>
      </w:r>
      <w:r>
        <w:t xml:space="preserve"> before termination of employment, not exceeding four years. The non-compete Restricted Period is reduced day-for-day by any nonworking portion of that notice period. After the first 90 days, Employee need not provide services and may engage in nonwork activities; Employee may work for another employer during the remainder of the notice period only with Employer's permission.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