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highlight w:val="yellow"/>
        </w:rPr>
        <w:t xml:space="preserve">{covered_customer_period}</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substantial customer relationships, and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w:t>
      </w:r>
    </w:p>
    <w:p>
      <w:pPr>
        <w:pStyle w:val="OABody"/>
        <w:keepNext/>
        <w:numPr>
          <w:ilvl w:val="0"/>
          <w:numId w:val="1"/>
        </w:numPr>
        <w:spacing w:before="320" w:after="120" w:line="340" w:lineRule="auto"/>
        <w:jc w:val="left"/>
      </w:pPr>
      <w:r>
        <w:rPr>
          <w:b/>
          <w:bCs/>
        </w:rPr>
        <w:t xml:space="preserve">Recitals, Consideration, and Protected Interests</w:t>
      </w:r>
    </w:p>
    <w:p>
      <w:pPr>
        <w:pStyle w:val="OABody"/>
        <w:spacing w:before="0" w:after="120" w:line="340" w:lineRule="auto"/>
        <w:ind w:left="720"/>
      </w:pPr>
      <w:r>
        <w:t xml:space="preserve">Each covenant is supported by and no broader than necessary to protect Employer's Protected Interests. In consideration for this agreement, Employer provides Employee with </w:t>
      </w:r>
      <w:r>
        <w:rPr>
          <w:highlight w:val="yellow"/>
        </w:rPr>
        <w:t xml:space="preserve">{additional_consideration}</w:t>
      </w:r>
      <w:r>
        <w:t xml:space="preserv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trade-secret obligations continue while the information remains a trade secret. Other confidentiality obligations continue for the duration specified in Cover Terms and end when the information is no longer confidential.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Employee's covered function is: </w:t>
      </w:r>
      <w:r>
        <w:rPr>
          <w:highlight w:val="yellow"/>
        </w:rPr>
        <w:t xml:space="preserve">{covered_employee_function}</w:t>
      </w:r>
      <w:r>
        <w:t xml:space="preserve">.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The restrictive covenants apply to a physician or other health care practitioner only if the covered function identified in Cover Terms applies to Employee.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disclosure to factual statements about the covenants in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Each Restricted Period begins when Employee's employment ends and expires on its stated end date, notwithstanding any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temporary and permanent injunctive relief and any other appropriate and effective remedy available at law or equity, including relief available under applicable trade-secret law to prevent actual or threatened misappropriation of trade secrets.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that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