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Illinois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rPr>
              <w:t xml:space="preserve">the geographic area in which Employee provided services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b/>
                <w:bCs/>
                <w:i/>
                <w:iCs/>
                <w:color w:val="494A4B"/>
                <w:sz w:val="21"/>
                <w:szCs w:val="21"/>
                <w:highlight w:val="yellow"/>
              </w:rPr>
              <w:t xml:space="preserve">[Description of the business activities that constitute competition with the employer.]</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rPr>
              <w:t xml:space="preserve"/>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 Business with Covered Customers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Non-Investment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b w:val="0"/>
          <w:bCs w:val="0"/>
        </w:rPr>
        <w:t xml:space="preserve">five percent</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Confidential Information and trade secrets, near-permanent relationships with customers, patients, and referral sources, workforce stability, and goodwill.</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has the meaning given in the Illinois Trade Secrets Act, 765 ILCS 1065/2(d).</w:t>
      </w:r>
    </w:p>
    <w:p>
      <w:pPr>
        <w:pStyle w:val="OABody"/>
        <w:keepNext/>
        <w:numPr>
          <w:ilvl w:val="0"/>
          <w:numId w:val="1"/>
        </w:numPr>
        <w:spacing w:before="320" w:after="120" w:line="340" w:lineRule="auto"/>
        <w:jc w:val="left"/>
      </w:pPr>
      <w:r>
        <w:rPr>
          <w:b/>
          <w:bCs/>
        </w:rPr>
        <w:t xml:space="preserve">Recitals and Protected Interests</w:t>
      </w:r>
    </w:p>
    <w:p>
      <w:pPr>
        <w:pStyle w:val="OABody"/>
        <w:spacing w:before="0" w:after="120" w:line="340" w:lineRule="auto"/>
        <w:ind w:left="720"/>
      </w:pPr>
      <w:r>
        <w:t xml:space="preserve">Employer and Employee acknowledge that each restrictive covenant in this agreement is ancillary to a valid employment relationship and protects one or more Protected Interests of Employer. Employer would not provide Employee with access to these Protected Interests absent the protections in this agreement.</w:t>
      </w:r>
    </w:p>
    <w:p>
      <w:pPr>
        <w:pStyle w:val="OABody"/>
        <w:keepNext/>
        <w:numPr>
          <w:ilvl w:val="0"/>
          <w:numId w:val="1"/>
        </w:numPr>
        <w:spacing w:before="320" w:after="120" w:line="340" w:lineRule="auto"/>
        <w:jc w:val="left"/>
      </w:pPr>
      <w:r>
        <w:rPr>
          <w:b/>
          <w:bCs/>
        </w:rPr>
        <w:t xml:space="preserve">Timing, Consideration, and Right to Consult Counsel</w:t>
      </w:r>
    </w:p>
    <w:p>
      <w:pPr>
        <w:pStyle w:val="OABody"/>
        <w:spacing w:before="0" w:after="120" w:line="340" w:lineRule="auto"/>
        <w:ind w:left="720"/>
      </w:pPr>
      <w:r>
        <w:t xml:space="preserve">Employer has advised Employee, in writing, to consult with an attorney before entering into this agreement, and has either provided Employee with a copy of this agreement at least 14 calendar days before the commencement of Employee's employment or given Employee at least 14 calendar days to review it before signing. Employee may choose to sign before the 14-day period expires, but Employer has extended the full period. The parties agree that this agreement is supported by adequate consideration — either at least two years of employment after Employee signs this agreement, or </w:t>
      </w:r>
      <w:r>
        <w:rPr>
          <w:b w:val="0"/>
          <w:bCs w:val="0"/>
        </w:rPr>
        <w:t xml:space="preserve">the compensation, access to Confidential Information, and other benefits Employer provides to Employee under this agreement, which the parties agree are given in exchange for the restrictive covenants</w:t>
      </w:r>
      <w:r>
        <w:t xml:space="preserve"> — given specifically in exchange for the restrictive covenants in this agreement. Employee acknowledges that the restrictions in this agreement are reasonable and necessary to protect Employer's Protected Interests.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for the Trade Secrets Duration specified in Cover Terms, to the extent the information remains a trade secret. Employee's obligations regarding other Confidential Information continue for the Other Confidential Information Duration specified in Cover Terms.</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 This covenant does not apply if Employee's actual or expected annualized rate of earnings is $45,000 or less (820 ILCS 90/10(b)).</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This covenant does not apply if Employee's actual or expected annualized rate of earnings is $45,000 or less (820 ILCS 90/10(b)).</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covenant does not apply if Employee's actual or expected annualized rate of earnings is $45,000 or less (820 ILCS 90/10(b)).</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does not apply if Employee's actual or expected annualized rate of earnings is $75,000 or less. Passive Public Holdings are permitted.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This covenant does not apply if Employee's actual or expected annualized rate of earnings is $75,000 or less. Passive Public Holdings are permitted. The worker exclusions and layoff-compensation condition stated below also apply to this covenant.</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w:t>
      </w:r>
    </w:p>
    <w:p>
      <w:pPr>
        <w:pStyle w:val="OABody"/>
        <w:keepNext/>
        <w:numPr>
          <w:ilvl w:val="0"/>
          <w:numId w:val="1"/>
        </w:numPr>
        <w:spacing w:before="320" w:after="120" w:line="340" w:lineRule="auto"/>
        <w:jc w:val="left"/>
      </w:pPr>
      <w:r>
        <w:rPr>
          <w:b/>
          <w:bCs/>
        </w:rPr>
        <w:t xml:space="preserve">Workers Exempt from the Illinois Covenant Restrictions</w:t>
      </w:r>
    </w:p>
    <w:p>
      <w:pPr>
        <w:pStyle w:val="OABody"/>
        <w:numPr>
          <w:ilvl w:val="1"/>
          <w:numId w:val="1"/>
        </w:numPr>
        <w:spacing w:before="0" w:after="120" w:line="340" w:lineRule="auto"/>
      </w:pPr>
      <w:r>
        <w:t xml:space="preserve">Notwithstanding any other provision of this agreement, the covenant not to compete and the covenant not to solicit do not apply to Employee working in construction unless Employee primarily performs management, engineering or architectural, design, or sales functions or is an owner. The covenant not to compete does not apply to Employee covered by a collective bargaining agreement governing public or educational labor relations. The applicable covenant does not apply to a nurse or certified nurse aide placed by a nurse agency on a temporary basis, to a broadcast employee subject to a prohibited post-employment geographic or time restraint, or to a licensed mental-health professional providing services to veterans or first responders where the restriction would increase the cost or difficulty of obtaining those services.</w:t>
      </w:r>
    </w:p>
    <w:p>
      <w:pPr>
        <w:pStyle w:val="OABody"/>
        <w:numPr>
          <w:ilvl w:val="1"/>
          <w:numId w:val="1"/>
        </w:numPr>
        <w:spacing w:before="0" w:after="120" w:line="340" w:lineRule="auto"/>
      </w:pPr>
      <w:r>
        <w:t xml:space="preserve">If Employee is terminated, furloughed, or laid off as the result of business circumstances or governmental orders related to the COVID-19 pandemic or under circumstances similar to it, the covenant not to compete and the covenant not to solicit are enforceable only if Employer pays Employee, for the period of enforcement, compensation equivalent to Employee's base salary at the time of termination, reduced by any compensation Employee earns through subsequent employment during that period (820 ILCS 90/10(c)).</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so that the full duration of the restriction runs from the date the breach ends.</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for the Trade Secrets Duration specified in Cover Terms to the extent they relate to trade secrets, and for the Other Confidential Information Duration specified in Cover Terms for other Confidential Information.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(Illinois)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(Illinois)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(Illinois)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