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 for Restrictive Covenants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{michigan_consideration}</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relationships and goodwill with its customers, patients, referral sources, and business partners.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Reasonable Competitive Business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the consideration identified as </w:t>
      </w:r>
      <w:r>
        <w:rPr>
          <w:highlight w:val="yellow"/>
        </w:rPr>
        <w:t xml:space="preserve">{michigan_consideration}</w:t>
      </w:r>
      <w:r>
        <w:t xml:space="preserve">.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drawn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relationships — and not to restrain ordinary competition or Employee's general knowledge or skill. The parties intend this covenant to protect a reasonable competitive business interest and to be reasonable as to its duration, geographical area, and the type of employment or line of business, with its scope sized to Employee's actual role and Employer's actual market. If Employer has identified specific competitors in Cover Terms under Specified Competitors, this covenant applies only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licensed health care practitioner, each restriction applies only during the Restricted Period and within the Restricted Territory stated in Cover Terms.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Michigan Uniform Trade Secrets Act for actual or threatened misappropriation of a trade secret.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 assignee or successor takes each covenant subject to its existing limitations.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The parties agree to a Michigan forum for disputes arising out of or relating to this agreement.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