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investment in special training provided to Employee, and customer relationships developed by Employee on Employer's behalf.</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its Confidential Information and trade secrets, its investment in special training, and its customer relationships in which Employee is the face of the business.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this agreement is signed at the outset of employment, the offer and commencement of employment is the consideration. If Employee signs after hire, Employer will provide the consideration stated in Cover Terms. Employer has given Employee the opportunity to consult with independent legal counsel before signing this agreement. Employee acknowledges that the restrictions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compensation and worker exclusions stated below. If Cover Terms identify Specified Competitors, this covenant is limited to those named competitors.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the non-compete restriction in this agreement does not apply to, and is void against, Employee if Employee's annualized compensation is less than $70,000. For this purpose, annualized compensation includes wages, salary, commissions, nondiscretionary bonuses, and other remuneration, and for an hourly employee is calculated by multiplying the hourly rate by forty and multiplying the product by fifty-two. The non-compete also does not apply to Employee's practice of emergency medicine. The other restrictive covenants remain in effect according to their terms.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same objective exclusions as the Non-Competition section apply to this restriction.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provides licensed health-care services, any covenant restricting Employee's practice lasts no more than two years and applies only within the greater of a ten-mile radius from Employee's primary practice site or the county where that site is located. No non-compete restricts Employee's practice of emergency medicine.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any prospective employer or business associate of Employee if Employer has a reasonable belief that Employee may breach those obligations.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unless this agreement expressly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Tennessee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