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Stockholder Consent for SAFE Financing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stockholder consent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Aggregate SAFE Purchase Amount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${purchase_amount}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Delaware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Stockholder Action Under Delaware Law.</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stockholders of Company adopt this action by written consent pursuant to Section 228 of the Delaware General Corporation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SAFE Financing Approval.</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stockholders approve Company entering into one or more Simple Agreements for Future Equity, or SAFEs, for the aggregate purchase amount listed in Cover Terms. This approval is effective only after any required Board of Directors approvals are obtained, and in all cases no later than 60 days after the earliest date on which this stockholder consent is delivered.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Fairness and Company Benefit.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stockholders determine that the SAFE financing is just, equitable, and fair to Company and its stockholders and is in the best interests of Company.</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Officer Authority.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authorized and directed, for and on behalf of Company, to execute and deliver each SAFE and any related agreements, certificates, notices, or other documents required or contemplated by any SAFE or otherwise necessary or appropriate in connection with the SAFE financing.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Negotiated Changes.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further authorized to negotiate and approve additions, modifications, amendments, or deletions to any SAFE or related document, and execution and delivery by that officer will be conclusive evidence of that approval.</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Further Actions.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authorized and directed to take any further actions and execute any additional documents necessary or appropriate to implement these approvals.</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This Action by Written Consent shall be filed with the minutes of the proceedings of Company stockholders.</w:t>
      </w:r>
    </w:p>
    <w:p>
      <w:pPr>
        <w:spacing w:after="280" w:before="0" w:line="340" w:beforeAutospacing="false" w:afterAutospacing="false"/>
        <w:contextualSpacing w:val="false"/>
      </w:pP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below, each stockholder adopts this stockholder consent as of the effective date listed in Cover Terms. Any copy, facsimile, PDF, or other reliable reproduction of this stockholder consent may be substituted or used in lieu of the original writing for any purpose for which the original writing could be used, provided that the reproduction is a complete reproduction of the entire original writing.</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{FOR stockholder IN stockholders}</w:t>
      </w:r>
    </w:p>
    <w:p>
      <w:pPr>
        <w:spacing w:after="0" w:before="320" w:line="340" w:beforeAutospacing="false" w:afterAutospacing="false"/>
        <w:contextualSpacing w:val="false"/>
      </w:pPr>
      <w:r>
        <w:rPr>
          <w:rFonts w:ascii="Arial" w:cs="Arial" w:eastAsia="Arial" w:hAnsi="Arial"/>
          <w:b w:val="false"/>
          <w:bCs w:val="false"/>
          <w:i w:val="false"/>
          <w:iCs w:val="false"/>
          <w:color w:val="1D2021"/>
          <w:sz w:val="22"/>
          <w:szCs w:val="22"/>
        </w:rPr>
        <w:t xml:space="preserve">______________________________</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{$stockholder.name}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Date: {effective_date}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{END-FOR stockholder}</w:t>
      </w:r>
    </w:p>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2026-04-30T15:17:07.858Z</dcterms:created>
  <dcterms:modified xsi:type="dcterms:W3CDTF">2026-04-30T15:17:07.858Z</dcterms:modified>
</cp:coreProperties>
</file>

<file path=docProps/custom.xml><?xml version="1.0" encoding="utf-8"?>
<Properties xmlns="http://schemas.openxmlformats.org/officeDocument/2006/custom-properties" xmlns:vt="http://schemas.openxmlformats.org/officeDocument/2006/docPropsVTypes"/>
</file>