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Security Incident Reporting.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Post-Employment Obligations.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Policy Updates.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before="320" w:after="1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before="0" w:after="28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2026-02-19T02:09:21.047Z</dcterms:created>
  <dcterms:modified xsi:type="dcterms:W3CDTF">2026-02-19T02:09:21.047Z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