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Alaska</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rPr>
              <w:t xml:space="preserve">employment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covenant may protect under Alaska's common-law reasonableness rule, namely Employer's Confidential Information, Employer's trade secrets as defined by the Alaska Uniform Trade Secrets Act (AS 45.50.940),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Alaska has no general non-compete statute; enforceability is governed by Alaska Supreme Court common law, under which non-competition agreements are strictly construed (DeCristofaro v. Sec. Nat'l Bank, 664 P.2d 167 (Alaska 1983)) and each restraint is tested against the reasonableness factors set out in Data Mgmt., Inc. v. Greene, 757 P.2d 62 (Alaska 1988) — including the presence of limitations as to time and space, whether Employee was the sole contact with the customer, whether Employee held confidential information or trade secrets, whether the covenant targets competition unfair to Employer or merely eliminates ordinary competition, whether it stifles Employee's inherent skill and experience, whether the benefit to Employer is disproportional to the detriment to Employee, and whether it bars Employee's sole means of support. The parties acknowledge that each covenant is meant to guard Employer's Confidential Information, trade secrets, and customer goodwill and not to eliminate ordinary competition, and that reasonableness is fact-bound — no term or territory is safe by rule, and each restraint must map to the business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No staged Alaska authority resolves whether continued at-will employment alone supports a covenant signed mid-employment, so the parties recite the actual exchange supporting the covenants — which may include initial or continued employment, access to Confidential Information and customer relationships, training, compensation, a raise, or a bonus — as evidence of the consideration given.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Data Management reasonableness factors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Alaska law, including the Alaska Uniform Trade Secrets Act, AS 45.50.910–.945, under which a court may enjoin actual or threatened misappropriation of trade secrets (AS 45.50.910(a)).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trade secrets, and that a completed certification — or proof it was refused — is evidence for a motion to enjoin actual or threatened misappropriation under the Alaska Uniform Trade Secrets Act, AS 45.50.910(a).</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Alaska gives workforce restraints no separate rulebook — this covenant is weighed under the same fact-bound Data Management reasonableness factors as every other restraint in this agreement — and it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Consistent with Metcalfe Invs., Inc. v. Garrison, 919 P.2d 1356 (Alaska 1996), this covenant is limited to expropriating the information and customers Employer procured at its own expense; it reaches only Covered Customers with whom Employee had material contact and leaves Employee free to compete generally. This covenant maps directly onto Employer's customer-goodwill interest and, together with the confidentiality and trade-secret protections in this agreement, is often a stronger and more readily enforceable protection than a broad non-compete. This covenant does not apply where Employee had no access to Confidential Information relating to the Covered Customer, because a covenant not to contact former customers is unreasonable in that circumstance.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intend it to remain limited to the customers and information Employer procured at its own expense and not to expand into a bar prohibiting Employee from practicing his or her specialty; where the customer class is so large that the restraint would amount to such a bar, Alaska requires it to be drafted more narrowly, and the parties intend this covenant to be so narrowed rather than to fail (Metcalfe Invs., Inc. v. Garrison, 919 P.2d 1356 (Alaska 1996)). It reaches only Covered Customers with whom Employee had material contact and to whom Employee had access to Confidential Information.</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Alaska strictly construes non-competition agreements (DeCristofaro v. Sec. Nat'l Bank, 664 P.2d 167 (Alaska 1983)), and the parties intend this covenant to be reasonably necessary to protect Employer's Protected Interests and no broader than needed under the Data Management reasonableness factors,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broader than required.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post-employment restraint weighed under the Data Management reasonableness factors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any covenant tied to that sale is drafted against Alaska's sale-of-business balance and not as an ordinary employment restraint. Alaska treats covenants arising from the sale of a business differently from ordinary employment covenants — the goodwill the buyer purchased is a recognized interest — but the restraint is read as a covenant against competition, not a ban on practicing a profession in any capacity (Dominic Wenzell, DMD PC v. Ingrim, 228 P.3d 103 (Alaska 2010)). Enforcement is weighed as a three-way balance: the buyer's need to protect the goodwill it purchased, the hardship to the seller from enforcing the covenant, and the likely injury to the public. Where the restrained work is for a federally funded nonprofit provider offering free or low-cost services to a population in need, competition will not be presumed and must be proven, and even proven competition leaves the court weighing whether enforcement would harm the public's access to those services. The parties intend any sale-of-business covenant to survive that weighing, not merely a radius-and-duration check.</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Alaska has no physician or other occupation statute governing restrictive covenants, so a covenant restraining a health-care practitioner is tested under the same common-law reasonableness as any other restraint. What Alaska adds is a public-interest lens drawn from Dominic Wenzell, DMD PC v. Ingrim, 228 P.3d 103 (Alaska 2010): where the restrained clinician serves a population in need of important low-cost care, enforcement is weighed against the harm to that access, not just against radius and duration, competition is not presumed and must be proven, and even proven competition leaves the court weighing the injury to the public. Accordingly, any covenant in this agreement restraining Employee from the practice of a health-care profession is intended to use a narrow radius and a short term, to preserve patient access and continuity of care, and to be enforced only to the extent it survives that public-interest weighing under Alaska's reasonableness factors. There is no enacted Alaska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Alaska's reasonableness analysis may expose Employer to a claim, and that it should condition any such notice on a restraint it is prepared to defend as reasonably necessary and no broader than needed.</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staged Alaska authority addresses whether a restricted period tolls or is equitably extended during a breach or during litigation over the covenant, so the parties state their intended extension expressly here rather than rely on any implied rule. Any such extension is itself a restraint that must remain reasonable under the Data Management factors, because a longer effective restraint is weighed under the same fact-bound time-and-space analysis as the original term;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Alaska Uniform Trade Secrets Act, under which a court may enjoin actual or threatened misappropriation of a trade secret (AS 45.50.910(a)) independent of any covenant. Where misappropriation is wilful and malicious, that Act authorizes exemplary damages in an amount not exceeding twice the compensatory award (AS 45.50.915), a statutory remedy that exists independent of any contractual fee-shifting.</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Reasonable Alteration</w:t>
      </w:r>
    </w:p>
    <w:p>
      <w:pPr>
        <w:pStyle w:val="OABody"/>
        <w:spacing w:before="0" w:after="120" w:line="340" w:lineRule="auto"/>
        <w:ind w:left="720"/>
      </w:pPr>
      <w:r>
        <w:t xml:space="preserve">Alaska does not follow a mechanical blue-pencil rule. Under Data Mgmt., Inc. v. Greene, 757 P.2d 62 (Alaska 1988), if an overbroad covenant not to compete can be reasonably altered to render it enforceable, the court shall do so — unless it determines the covenant was not drafted in good faith, and the burden of proving good-faith drafting is on the employer; where the employer has overreached willfully, the court should refuse to alter the covenant at all. Employer therefore requests reasonable alteration only if a restraint in this agreement is found to be overbroad, and acknowledges that this rescue is available only on a good-faith showing it must affirmatively make. Accordingly, each restrictive covenant is drawn as a tiered,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where a covenant changes hands in a business sale, its posture in Alaska changes with it — purchased goodwill is a recognized interest, but the analysis then weighs seller hardship and likely injury to the public — and the assignment should be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Alaska law governs, the enforceability of each restrictive covenant is determined under Alaska Supreme Court common law; there is no general Alaska non-compete statute and no statutory safe harbor, so choosing Alaska selects strict construction and the fact-bound Data Management reasonableness factors for every covenant, and each covenant is drafted to survive that holistic analysis rather than to escape it. No staged Alaska authority overrides the parties' choice of law for restrictive covenants.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The parties intend this integration to be load-bearing: the Alaska Supreme Court has enforced an oral customer-list noncompetition promise despite the absence of a writing (Metcalfe Invs., Inc. v. Garrison, 919 P.2d 1356 (Alaska 1996)), so this clause is the parties' defense against any side promise ripening into an enforceable restraint the document never states.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