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and legally protected business information.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“Trade Secrets”</w:t>
      </w:r>
      <w:r>
        <w:t xml:space="preserve"> has the meaning given in the California Uniform Trade Secrets Act, Cal. Civ. Code § 3426 et seq.</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and non-disparagement obligations in this agreement are intended to protect Employer's Protected Interests without restraining Employee from engaging in a lawful profession, trade, or business.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California law, including the California Uniform Trade Secrets Act, Cal. Civ. Code § 3426.2.</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and other lawful obligations under this agreement to any prospective employer or business associate of Employee if Employer has a reasonable belief that Employee may breach those lawful obligations.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under the California Uniform Trade Secrets Act, including Cal. Civ. Code § 3426.2, and to enforce Employee's confidentiality and return-of-property obligations. If a party prevails in an action to enforce a lawful obligation under this agreement, the non-prevailing party must reimburse the prevailing party's reasonable attorney's fees and costs to the extent permitted by applicable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Cal. Bus. &amp; Prof. Code §§ 16600, 16600.1, and 16600.5, and Cal. Lab. Code § 925. For an Employee who primarily resides and works in California, this agreement does not require Employee, as a condition of employment, to adjudicate a claim arising in California outside California or to waive the substantive protection of California law, except to the extent Cal. Lab. Code § 925 permits a different provision because Employee was individually represented by counsel in negotiating it.</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(California)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(California)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(California)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