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Delaware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economic interests a Delaware covenant may protect under the Court of Chancery's reasonableness review, namely Employer's goodwill in its customer, vendor, referral-source, and business-partner relationships, Employer's Confidential Information, and Employer's trade secrets as defined by the Delaware Uniform Trade Secrets Act (6 Del. C. § 2001(4)),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Delaware Uniform Trade Secrets Act, 6 Del. C. § 2001(4).</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Delaware has no general non-compete statute; enforceability is governed by the Court of Chancery's reasonableness review, under which a post-employment covenant is enforceable only if it is reasonable in geographic scope and temporal duration, advances a legitimate economic interest of the party seeking its enforcement, and survives a balancing of the equities (FP UC Holdings, LLC v. Hamilton, 2020 WL 1492783 (Del. Ch. Mar. 27, 2020)). That review is holistic and in context: the court evaluates every dimension of a covenant and how it operates together with the other restrictions in this agreement (Sunder Energy, LLC v. Jackson, 305 A.3d 723 (Del. Ch. 2023), aff'd in relevant part, 332 A.3d 472 (Del. 2024)). The legitimate interests Delaware law recognizes are Employer's goodwill and Employer's confidential information, and the parties intend each covenant to be tied to the goodwill or information this Employee actually touched rather than to ordinary competition (Payscale Inc. v. Norman, No. 297, 2025 (Del. Mar. 19, 2026)).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given to Employee at the time of signing, and they record the specific value exchanged rather than reciting bare adequacy. If Employee is an existing at-will employee, the parties agree that, in exchange for Employee's assent to the covenants in this agreement, Employer continues an at-will employment relationship that it could otherwise legally have terminated, which Delaware treats as sufficient consideration for a restrictive covenant where signing is a condition of keeping the position (Research &amp; Trading Corp. v. Powell, 468 A.2d 1301 (Del. Ch. 1983)); where the parties intend additional value — a payment, raise, promotion, or equity grant — that value is identified in the record of this signing. If this agreement is signed at the outset of employment, the offer and commencement of employment is the consideration. The parties acknowledge that Delaware measures consideration at the time of contract formation and does not reevaluate it at the time of enforcement, so a later forfeiture or change in benefits does not unwind the consideration that supported this agreement when it was made (North American Fire Ultimate Holdings, LP v. Doorly, No. 142, 2025 (Del. Feb. 3, 2026)). Employee acknowledges having had the opportunity to consult with independent legal counsel before signing. Employee acknowledges that adequate consideration establishes only that the covenants are supported, not that they are reasonable — each covenant must independently satisfy the Court of Chancery's reasonableness review, and the court may weigh the breadth of a restraint against the consideration that supports it in balancing the equities (Payscale Inc. v. Norman, No. 297, 2025 (Del. Mar. 19, 2026)).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Delaware law, including the Delaware Uniform Trade Secrets Act, 6 Del. C. §§ 2001–2007, which defines a trade secret by its independent economic value from not being generally known and by efforts that are reasonable under the circumstances to maintain its secrecy (6 Del. C. § 2001(4)). This confidentiality obligation is intended to operate alongside, and independent of, any restrictive covenant, and does not restrict Employee's use of the general knowledge, skill, and experience Employee acquired during employment. A confidentiality definition drawn so broadly that it operates as an indefinite non-compete would itself invite the reasonableness review that a properly bounded confidentiality clause is meant to avoid, so this obligation is scoped to genuinely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that are reasonable under the circumstances to maintain the secrecy of its trade secrets, as contemplated by 6 Del. C. § 2001(4).</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nonetheless not reviewed in isolation: the Court of Chancery weighs how each restriction operates together with the others, so this covenant reaches only Covered Employees during the Restricted Period and is no broader than reasonable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Delaware credits a restraint tied to specific, identified customer relationships — protecting the contracts with an employer's most valued customers is a business-specific interest that can carry a covenant — so this covenant reaches only Covered Customers with whom Employee had material contact and is no broader than reasonable to protect Employer's goodwill in those relationships (Payscale Inc. v. Norman, No. 297, 2025 (Del. Mar. 19, 2026)). Together with the confidentiality and trade-secret protections in this agreement, this covenant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that extra breadth is a dimension the Court of Chancery weighs together with the rest of the covenant package, this restriction is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Consistent with the Court of Chancery's reasonableness review, the parties intend this covenant to be reasonable in geographic scope and temporal duration, to advance a legitimate economic interest, and to survive a balancing of the equities, with its time and territory sized to Employee's actual role and Employer's actual market. If Employer has identified specific competitors in Cover Terms under Specified Competitors, the parties intend this covenant to be understood and enforced as limited to those named competitors, because a restraint bound to identified competitors is stronger evidence that it is no broader than reasonable. The parties intend this covenant to be enforceable as written; because Delaware courts increasingly decline to blue-pencil an overbroad covenant, the enforceable scope is drawn into this covenant at the outset rather than left to later judicial revision.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reviewed under the Court of Chancery's reasonableness standard and is drawn no broader than reasonable to advance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and shall not be read or enforced to restrict, Employee's right to practice medicine in a particular locale or for a defined period of time after termination of this agreement. Under 6 Del. C. § 2707, any covenant-not-to-compete provision of an employment, partnership, or corporate agreement between and/or among physicians that restricts a physician's right to practice medicine in a particular locale and/or for a defined period after termination of the principal agreement is void; any such provision is severed and given no effect. The statute is targeted rather than total: all other provisions of this agreement remain enforceable at law, including provisions requiring the payment of damages in an amount reasonably related to the injury suffered by reason of termination, and such damages provisions may include damages related to competition. Accordingly, any damages provision applicable to a physician is kept separate from any practice restraint, is void as to practice restriction, and is tied to actual injury reasonably related to termination. This provision is a statutory rule specific to physicians; the home-inspector-trainee rule below and the general reasonableness review apply to their own subjects.</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and shall not be read or enforced to require, Employee to execute a covenant not to compete with a supervising licensed home inspector, or to pay any fee, charge, or other thing of value to a supervising licensed home inspector, as a condition of satisfying the home inspector trainee requirements. Under 24 Del. C. § 4109(d), any such requirement is prohibited, and any non-competition covenant in this agreement is void and of no effect as applied to Employee in that trainee capacity with respect to a supervising licensed home inspector. This is a narrow licensing rule specific to home inspector trainees and does not alter the covenants as applied to any other worker.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asserting a covenant the Court of Chancery would refuse to enforce — and refuse to narrow — may overstate Employer's position and create its own interference exposure, and that it should condition any such notice on a restraint it is prepared to defend under the reasonableness review.</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no surveyed Delaware statute or decision blesses or rejects tolling of a restricted period during a breach, and that any such extension is itself added duration — a dimension of the covenant that the Court of Chancery evaluates together with everything else in the contract under its holistic reasonableness review. The parties therefore do not intend an open-ended or indefinite extension, and any extension remains subject to the reasonableness review; Employer does not assume that a Delaware court will extend a restraint that has already expired.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Delaware Uniform Trade Secrets Act, 6 Del. C. § 2002, under which actual or threatened misappropriation of a trade secret may be enjoined independent of any covenant. The parties acknowledge that the availability of any such relief presupposes a covenant that first survives the Court of Chancery's reasonableness review and the balancing of the equities. Under 6 Del. C. § 2004, a court may award reasonable attorney's fees to the prevailing party where a claim of misappropriation is made in bad faith, a motion to terminate an injunction is made or resisted in bad faith, or wilful and malicious misappropriation exists, independent of any contractual fee clause; any contractual fee provision should be checked for mutuality rather than treated as the only path to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 self-contained survival and severability are what let a sound non-solicit outlive a failed non-compete, which matters in a jurisdiction whose courts increasingly decline to repair the failed clause.</w:t>
      </w:r>
    </w:p>
    <w:p>
      <w:pPr>
        <w:pStyle w:val="OABody"/>
        <w:keepNext/>
        <w:numPr>
          <w:ilvl w:val="0"/>
          <w:numId w:val="1"/>
        </w:numPr>
        <w:spacing w:before="320" w:after="120" w:line="340" w:lineRule="auto"/>
        <w:jc w:val="left"/>
      </w:pPr>
      <w:r>
        <w:rPr>
          <w:b/>
          <w:bCs/>
        </w:rPr>
        <w:t xml:space="preserve">Enforceable Scope Drawn at the Outset</w:t>
      </w:r>
    </w:p>
    <w:p>
      <w:pPr>
        <w:pStyle w:val="OABody"/>
        <w:spacing w:before="0" w:after="120" w:line="340" w:lineRule="auto"/>
        <w:ind w:left="720"/>
      </w:pPr>
      <w:r>
        <w:t xml:space="preserve">Delaware courts retain equitable discretion to narrow an overbroad covenant, but the parties do not rely on judicial blue-penciling or on any savings clause to cure overreach, because recent decisions increasingly refuse to rewrite an overbroad covenant and instead let it fail: partial enforcement of an overbroad covenant has been called inequitable (Kodiak Building Partners, LLC v. Adams, 2022 WL 5240507 (Del. Ch. Oct. 6, 2022)), a worldwide non-compete was left to fail rather than be revised to rescue a sophisticated party from its overreach (Intertek Testing Services NA, Inc. v. Eastman, 2023 WL 2544236 (Del. Ch. Mar. 16, 2023)), and the Delaware Supreme Court affirmed a refusal to blue-pencil and warned that enforcing unreasonable covenants against flagrant breachers would create perverse incentives for employers drafting restrictive covenants (Sunder Energy, LLC v. Jackson, 332 A.3d 472 (Del. 2024)). Accordingly, the actual enforceable scope of each restraint — the Protected Interests served, the restricted activities, the customer set, the territory, and the duration — is drawn into this agreement at the outset, and each covenant is intended to be enforceable as written rather than in reliance on judicial revision. Nothing in this section requests a Delaware court to reform an overbroad restraint, and the parties intend any restraint broader than reasonable to be treated as already lost rather than saved.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reads on its own definite schedule.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inherits a covenant inherits its posture with it — the same reasonableness review, the same equities, and the same reluctance to narrow — so a successor whose business does not correspond to the goodwill and Confidential Information the covenant was written to protect may find the covenant harder to enforce in its hands.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Delaware law governs, the enforceability of each restrictive covenant is determined under the Court of Chancery's common-law reasonableness review and its progeny; there is no general Delaware non-compete statute and no statutory safe harbor, so each covenant is drafted to survive the holistic reasonableness analysis rather than to escape it. A written Delaware choice-of-law selection in a qualifying contract is, by statute, conclusively presumed to bear a significant, material, and reasonable relationship with Delaware and enforceable whether or not other relationships exist, except that the statute does not apply to a contract involving less than $100,000 (6 Del. C. § 2708). The parties do not treat that selection as a universal workaround for another state's non-compete restrictions: Delaware's own courts have declined to let Delaware's freedom-of-contract interest always or routinely trump the default state's fundamental policy, and have applied another state's law notwithstanding a Delaware clause where that state had the materially greater interest (Ascension Insurance Holdings, LLC v. Underwood, 2015 WL 356002 (Del. Ch. Jan. 28, 2015); FP UC Holdings, LLC v. Hamilton, 2020 WL 1492783 (Del. Ch. Mar. 27, 2020)). Disputes will be resolved in the courts of the Governing Law state, subject to non-waivable rights under applicable law. Before relying on the Delaware selection against a worker whose residence and work center on another state, the parties intend that the default state, its fundamental policy, and which state has the materially greater interest be analyzed.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Delaware fixes the consideration question at the moment each instrument is formed, an amendment that re-papers a covenant is its own formation event, and the parties intend to record what value moved at each signing.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