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highlight w:val="yellow"/>
        </w:rPr>
        <w:t xml:space="preserve">{covered_customer_period}</w:t>
      </w:r>
      <w:r>
        <w:t xml:space="preserve"> before termination of employment, tracking the material contact customer concept of the Kansas Restraint of Trade Act (K.S.A. 50-163(g)(2)).</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Kansas covenant may protect under the four-factor Weber v. Tillman reasonableness test, namely Employer's Confidential Information, Employer's trade secrets as defined by the Kansas Uniform Trade Secrets Act (K.S.A. 60-3320(4)), Employer's goodwill in its customer, vendor, and business-partner relationships, and, for a professional practice, Employer's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tracking the statutory verb list of the Kansas Restraint of Trade Act (K.S.A. 50-163(c)(5)),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Under Kansas law, a non-competition covenant ancillary to an employment contract is valid and enforceable if the restraint is reasonable under the circumstances and not adverse to the public welfare (Weber v. Tillman, 259 Kan. 457, 913 P.2d 84 (1996)). Reasonableness is judged on four factors: whether the covenant protects a legitimate business interest of Employer, whether it creates an undue burden on Employee, whether it is injurious to the public welfare, and whether its time and territorial limitations are reasonable. The parties acknowledge that each covenant is meant to guard Employer's Confidential Information, trade secrets, customer goodwill, and referral sources and not to eliminate ordinary competition, that Employer carries the burden of showing each restraint is reasonable, and that Employer would not provide Employee with access to these Protected Interests absent the protections in this agreement. Each covenant is intended to be reasonable in time, territory, and scope, to impose no undue hardship on Employee, and to cause no injury to the public welfare.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Employer's continued employment of Employee is itself sufficient consideration for the covenants in this agreement, and that continued employment should not as a matter of law be disregarded as consideration sufficient to uphold a covenant not to compete under Puritan-Bennett Corp. v. Richter, 8 Kan. App. 2d 311, 657 P.2d 589 (1983);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four-factor Weber reasonableness test on legitimate interest, undue burden, public welfare, and reasonable time and territory.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Kansas law, including the Kansas Uniform Trade Secrets Act, K.S.A. 60-3320 through 60-3330, which defines a trade secret by its independent economic value, actual or potential, from not being generally known to and not being readily ascertainable by proper means by others who can obtain economic value from its disclosure or use, and by efforts that are reasonable under the circumstances to maintain its secrecy (K.S.A. 60-3320(4)). Because the Kansas Uniform Trade Secrets Act does not affect contractual remedies, whether or not based upon misappropriation of a trade secret (K.S.A. 60-3326(b)(1)), this confidentiality obligation is the operative protection for customer lists, pricing, and know-how that falls short of statutory trade-secret status.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the Kansas Uniform Trade Secrets Act (K.S.A. 60-3320(4)).</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The Kansas Restraint of Trade Act safe harbors run to customer solicitation and owner covenants and do not create a conclusive presumption for an employer-employee coworker no-recruit covenant, so this covenant is drawn to stand on ordinary reasonableness under K.S.A. 50-163(c)(1): as the lightest restraint in this agreement it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 This covenant is drawn to the K.S.A. 50-163(c)(5) safe harbor: it is limited to Covered Customers, which track the statutory material contact customer definition, and — where its Restricted Period in Cover Terms does not exceed two years following the end of Employee's employment — it is intended to be conclusively presumed enforceable and not a restraint of trade. Even inside the safe harbor, K.S.A. 50-163(c)(7) preserves any defense available to Employee at law or in equity. This covenant maps directly onto Employer's customer-goodwill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K.S.A. 50-163(c)(5) safe harbor reaches acceptance and transfer of a customer's business and not merely outreach, so — where limited to Covered Customers and capped in Cover Terms at no more than two years following the end of Employee's employment — this covenant is intended to ride the same conclusive presumption as the customer non-solicitation covenant, and it is sized tightly to the goodwill it protects.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goodwill, and referral sources — and not to restrain ordinary competition. Consistent with the four-factor Weber v. Tillman reasonableness test, the parties intend this covenant to protect a legitimate business interest of Employer, to impose no undue burden on Employee, to cause no injury to the public welfare, and to keep its time and territory reasonable and sized to Employee's actual role and Employer's actual market. The Kansas Restraint of Trade Act excludes covenants not to compete (K.S.A. 50-163(e)(6)), so this covenant does not rely on that Act's conclusive presumptions or its mandatory reformation command; it stands or falls on the common-law reasonableness test.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four-factor Weber reasonableness test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evaluated under Kansas's ordinary four-factor Weber reasonableness test and not under any healthcare-specific ban, because Kansas has no statute banning physician or health care non-competes. Kansas courts apply ordinary covenant law to medical practices and recognize that referral sources are a legitimate interest which can be protected by a restrictive covenant even in the context of a medical practice (Idbeis v. Wichita Surgical Specialists, P.A., 279 Kan. 755, 112 P.3d 81 (2005)). Accordingly, any physician covenant in this agreement is intended to use a reasonable radius and a reasonable term, to preserve patient access and continuity of care as part of the public-welfare factor, and to be enforced only to the extent it survives the four-factor reasonableness analysis. This agreement does not assume any pending legislation; a 2025–2026 proposal to ban most physician non-competes died without becoming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a Kansas court later narrows or declines to enforce under the Weber reasonableness test may expose Employer to a claim, and that it should condition any such notice on a restraint it is prepared to defend on all four factors — which in Kansas may be a narrowed version of the covenant as written.</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The only Kansas appellate decision on point declined to enforce a tolling provision, reasoning that while a two-year period was a reasonable restriction, an indefinite extension of that period was not a reasonable restraint (Doan Family Corp. v. Arnberger, 522 P.3d 364 (Kan. Ct. App. 2022)). Consistent with that decision,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Kansas Uniform Trade Secrets Act, under which actual or threatened misappropriation of a trade secret may be enjoined independent of any covenant, and which is the exclusive remedy for trade-secret misappropriation, preempting tort claims for that recovery (Wolfe Electric, Inc. v. Duckworth, 293 Kan. 375, 266 P.3d 516 (2011)). Employee further acknowledges that Kansas appellate courts exercise unlimited review when determining whether a noncompete clause in an employment contract is enforceable as written (Doan Family Corp. v. Arnberger, 522 P.3d 364 (Kan. Ct. App. 2022)), so a recital of irreparable harm smooths the path to relief but does not substitute for a covenant that survives the four-factor Weber test. If the agreement is silent on fees, the American Rule applies; any fee provision the parties add should be mutual and prevailing-party in form.</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Kansas courts exercise their equitable powers to reduce an overbroad restraint to only what is necessary to protect the employer's interest and to enforce the covenant as reduced (Eastern Distributing Co. v. Flynn, 222 Kan. 666, 567 P.2d 1371 (1977)); Employer therefore requests that a court narrow any restraint in this agreement found to be overbroad and enforce it as narrowed. Two limits shape this request. First, that power reaches only unreasonable terms: because a reasonable term is enforced as written, a court has no discretion to rewrite a term that is already reasonable (Doan Family Corp. v. Arnberger, 522 P.3d 364 (Kan. Ct. App. 2022)). Second, the mandatory modify-and-enforce command of the Kansas Restraint of Trade Act (K.S.A. 50-163(b)) operates only on covenants the Act governs, and the Act excludes covenants not to compete (K.S.A. 50-163(e)(6)); for a traditional non-compete the operative narrowing authority is the common-law equity power, not the statute. Accordingly, each restrictive covenant in this agreement is drawn as a tiered, severable, reasonable restraint sized to the Protected Interests from the start and is intended to be enforceable as written rather than in reliance on judicial revision, because an employer that overreaches risks receiving only the minimum relief a court considers necessary.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covenant's clock is independently checkable against its own reasonableness analysis.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note that in a sale of the business the Kansas covenant landscape shifts with the signer: solicitation covenants signed by an owner or seller of any part of a business entity's assets or equity are conclusively presumed enforceable for up to four years following the end of the owner's business relationship under K.S.A. 50-163(c)(2) and (c)(3), a longer runway than the two-year employee clock, so an acquirer protecting purchased goodwill should paper sellers as owners rather than rely on assigned employee covenants alone.</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Kansas law governs, the enforceability of each restrictive covenant not to compete is determined under the common-law four-factor reasonableness test of Weber v. Tillman and its progeny, while the enumerated solicitation and owner covenants may qualify for the conclusive-presumption safe harbors of the Kansas Restraint of Trade Act (K.S.A. 50-163). Kansas has no statute overriding the parties' choice of law for restrictive covenants, so this selection does real work in deciding whether the Weber framework and the K.S.A. 50-163 safe harbors govern at all.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this merger clause to name which covenant instrument survives, because continued employment alone supports a covenant signed after hire in Kansas and a superseded agreement should not remain live alongside its replacement.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