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Massachusetts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rPr>
              <w:t xml:space="preserve">garden leave equal to at least 50% of Employee's highest annualized base salary paid within the two years before termination, paid pro rata across the Restricted 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Mass. Gen. Laws ch. 149, § 24L(b)(iii) permits a noncompetition agreement to protect: Employer's trade secrets, Employer's Confidential Information that would not otherwise qualify as a trade secret, and Employer's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one or more of the legitimate business interests that Mass. Gen. Laws ch. 149, § 24L(b)(iii) permits a noncompetition agreement to protect: (A) Employer's trade secrets; (B) Employer's Confidential Information that would not otherwise qualify as a trade secret; or (C) Employer's goodwill. The parties acknowledge that, under Massachusetts law, protection from ordinary competition is not a legitimate business interest.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(Mass. Gen. Laws ch. 149, § 24L(b)(i)).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(Mass. Gen. Laws ch. 149, § 24L(b)(ii)). Employee acknowledges that the restrictions in this agreement are reasonable and necessary to protect Employer's Protected Interests. If the employment relationship later changes materially, Employer may ask Employee to execute a new agreement that complies with the statute then in effect.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Massachusetts law, including the Massachusetts Uniform Trade Secrets Act, Mass. Gen. Laws ch. 93, §§ 42–42G.</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is a covenant not to solicit Employer's customers, clients, or vendors and, under Mass. Gen. Laws ch. 149, § 24L(a), it is not a noncompetition agreement subject to that section's garden-leave, duration, and notice requirements; it is governed by common-law reasonableness and protects Employer's goodwill.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As a covenant not to transact business with Employer's customers, clients, or vendors, this restriction is excluded from the Massachusetts Noncompetition Agreement Act by Mass. Gen. Laws ch. 149, § 24L(a) and is governed by common-law reasonableness; it protects Employer's goodwill.</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a noncompetition agreement under the Massachusetts Noncompetition Agreement Act, Mass. Gen. Laws ch. 149, § 24L. It is no broader than necessary to protect Employer's Protected Interests, and the Restricted Period for this covenant does not exceed 12 months from the cessation of employment, except that it may extend to no more than 2 years from cessation if Employee has breached a fiduciary duty to Employer or has unlawfully taken, physically or electronically, property belonging to Employer (Mass. Gen. Laws ch. 149, § 24L(b)(iv)). This covenant is supported by the garden leave clause or other mutually-agreed upon consideration stated in Cover Terms (Mass. Gen. Laws ch. 149, § 24L(b)(vii)), and is subject to the worker exemptions stated below. The Restricted Territory is intended to be reasonable in geographic reach, and the Competitive Business is intended to be reasonable in the scope of proscribed activities, each in relation to the Protected Interests (Mass. Gen. Laws ch. 149, § 24L(b)(v)–(vi)); this covenant is intended to be consonant with public policy (Mass. Gen. Laws ch. 149, § 24L(b)(viii)). Consistent with Massachusetts common law, a covenant not to compete is enforceable only if it is necessary to protect a legitimate business interest, reasonably limited in time and space, and consonant with the public interest. Passive Public Holdings are permitted.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This noncompetition agreement is supported by the garden leave clause or other mutually-agreed upon consideration stated in Cover Terms, as required by Mass. Gen. Laws ch. 149, § 24L(b)(vii). A qualifying garden leave clause provides for the payment to Employee, on a pro-rata basis during the entirety of the Restricted Period for the non-compete and consistent with the wage-payment requirements of Mass. Gen. Laws ch. 149, § 148, of at least 50 percent of Employee's highest annualized base salary paid by Employer within the 2 years preceding the cessation of employment. Where the parties instead agree to other mutually-agreed upon consideration, that consideration is the amount stated in Cover Terms. Because the statute does not define consideration other than garden leave, the consideration is intended to be sized conservatively against the garden-leave benchmark.</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is not enforceable against, and does not apply to, Employee if Employee falls within any category against which Mass. Gen. Laws ch. 149, § 24L(c) makes a noncompetition agreement unenforceable: (i) an employee classified as nonexempt under the Fair Labor Standards Act, 29 U.S.C. §§ 201–219; (ii) an undergraduate or graduate student engaged in an internship or other short-term employment relationship while enrolled in a full-time or part-time educational program; (iii) an employee who has been terminated without cause or laid off; or (iv) an employee age 18 or younger. For purposes of this section and Mass. Gen. Laws ch. 149, § 24L, the term employee includes an independent contractor under Mass. Gen. Laws ch. 149, § 148B. The other restrictive covenants in this agreement remain in effect to the extent they are otherwise enforceable.</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To the extent this covenant restricts Employee from engaging in activities competitive with Employer after employment ends — for example, serving as a director, officer, manager, or advisor to a Competitive Business — it is a noncompetition agreement under Mass. Gen. Laws ch. 149, § 24L and applies only on the same terms as the non-compete in this agreement, including the garden leave or other agreed consideration, the 12-month duration cap, and the worker exemptions stated above; it does not restrict Passive Public Holdings.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(Mass. Gen. Laws ch. 112, § 12X), a registered or practical nurse (Mass. Gen. Laws ch. 112, § 74D), a licensed psychologist (Mass. Gen. Laws ch. 112, § 129B), or a licensed social worker (Mass. Gen. Laws ch. 112, § 135C).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a violation of that prohibition exposes Employer to the affected Employee's reasonable attorneys' fees and costs (Mass. Gen. Laws ch. 149, § 186).</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the non-compete, no extension under this section may cause the Restricted Period to run beyond the latest point permitted by Mass. Gen. Laws ch. 149, § 24L(b)(iv) — that is, beyond 12 months from the cessation of employment, or beyond 2 years from the cessation of employment only where Employee has breached a fiduciary duty to Employer or has unlawfully taken, physically or electronically, property belonging to Employer. Because Massachusetts courts will not equitably extend a noncompetition restraint beyond its stated term (see EMC Corp. v. Arturi and Automile Holdings, LLC v. McGovern), this express provision is the parties' agreed mechanism for any extension during a breach, and it cannot lengthen the non-compete beyond that statutory ceiling.</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Mass. Gen. Laws ch. 149, § 24L(d), a court may, in its discretion, reform or otherwise revise a noncompetition agreement so as to render it valid and enforceable to the extent necessary to protect Employer's applicable legitimate business interests, and Employer requests such reformation if any restraint in this agreement is found to be overbroad. Because that reformation power is discretionary, the parties intend each restrictive covenant in this agreement to be drawn no broader than necessary and to be independently enforceable, rather than to rely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The Employer named in this agreement is the entity that actually employs Employee. Because Mass. Gen. Laws ch. 149, § 24L governs an agreement between an employer and an employee, the noncompetition obligations run to and are enforceable by that employing entity, and are not intended to be enforced by a parent, holding company, or affiliate that is not Employee's employer.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Massachusetts Noncompetition Agreement Act, Mass. Gen. Laws ch. 149, § 24L, for agreements entered into on or after October 1, 2018. No choice-of-law provision shall be applied to avoid the requirements of Mass. Gen. Laws ch. 149, § 24L if Employee is, and has been for at least 30 days immediately preceding the cessation of employment, a resident of or employed in Massachusetts. All civil actions relating to the noncompetition agreement in this agreement shall be brought in the county where Employee resides or, if Employer and Employee mutually agree, in Suffolk County, as required by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