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Mississippi</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including its Confidential Information, its Trade Secrets, its goodwill in its customer, vendor, referral-source, and business-partner relationships, and its investment in specialized training provided to Employee.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subject to any express extension under the Tolling During Breach section.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derives independent economic value from not being generally known or readily ascertainable and that is the subject of efforts reasonable under the circumstances to maintain its secrecy, as protected under the Mississippi Uniform Trade Secrets Act and the federal Defend Trade Secrets Act.</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Confidential Information and Trade Secrets and will develop customer relationships and goodwill on Employer's behalf, and each covenant is included to protect those Protected Interests and not to restrain ordinary competition. Employer would not provide Employee with access to those Protected Interests absent the protections in this agreement. The parties agree that each covenant is reasonable in duration, territory, and restrained activity, and is sized to the work Employee actually performs and the relationships Employee actually holds rather than to the whole of Employer's business.</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consideration. If Employee is an existing at-will employee, the consideration for Employee's covenants is Employer's continuation of Employee's employment; if this agreement is signed at the outset of employment, the consideration is the offer and commencement of employment. Employee represents that Employee is not a minor and has the legal capacity to enter this agreement. Employee acknowledges having had the opportunity to consult with independent legal counsel before signing this agreement, and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applies independent of any restrictive covenant in this agreement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Employee's own solicitation of a Covered Customer; except as expressly provided elsewhere in this agreement, it does not prohibit Employee from accepting business from a Covered Customer who initiates contact with Employee and whom Employee did not Solicit. This covenant is included to protect Employer's goodwill in its customer relationships and is drawn no broader than reasonably necessary to protect it.</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is included to protect Employer's goodwill in its customer relationships and is drawn no broader than reasonably necessary to protect it.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included to protect Employer's Protected Interests, not to restrain ordinary competition, and is confined to the Restricted Territory and to the activities described in Cover Terms under Competitive Business. Where Cover Terms list Specified Competitors, this covenant is limited to those named competitors and their affiliates rather than the general Competitive Business definition.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or other health care practitioner, the parties acknowledge that each covenant in this agreement restraining Employee's practice is limited to the durations and, where applicable, the territory stated in Cover Terms, and is intended to preserve patient access and continuity of care.</w:t>
      </w:r>
    </w:p>
    <w:p>
      <w:pPr>
        <w:pStyle w:val="OABody"/>
        <w:keepNext/>
        <w:numPr>
          <w:ilvl w:val="0"/>
          <w:numId w:val="1"/>
        </w:numPr>
        <w:spacing w:before="320" w:after="120" w:line="340" w:lineRule="auto"/>
        <w:jc w:val="left"/>
      </w:pPr>
      <w:r>
        <w:rPr>
          <w:b/>
          <w:bCs/>
        </w:rPr>
        <w:t xml:space="preserve">Practice Restrictions for Lawyers Excluded</w:t>
      </w:r>
    </w:p>
    <w:p>
      <w:pPr>
        <w:pStyle w:val="OABody"/>
        <w:spacing w:before="0" w:after="120" w:line="340" w:lineRule="auto"/>
        <w:ind w:left="720"/>
      </w:pPr>
      <w:r>
        <w:t xml:space="preserve">If Employee is a lawyer, no covenant in this agreement restricts Employee's right to practice law after the termination of the relationship, except an agreement concerning benefits upon retirement, as provided in Miss. R. Prof'l Conduct 5.6(a). To the extent any covenant in this agreement would otherwise restrain Employee's right to practice law, that covenant does not apply to Employee.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the time Employee is in breach, even if the Restricted Period would otherwise have expired according to the terms of this agreement, so that the full duration of the restriction is measured by the actual period of the breach. Any extension under this section is limited to the actual period of the breach and does not otherwise extend the Restricted Period.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No Enforcement After a Bad-Faith Termination</w:t>
      </w:r>
    </w:p>
    <w:p>
      <w:pPr>
        <w:pStyle w:val="OABody"/>
        <w:spacing w:before="0" w:after="120" w:line="340" w:lineRule="auto"/>
        <w:ind w:left="720"/>
      </w:pPr>
      <w:r>
        <w:t xml:space="preserve">Employer will not rely on any covenant in this agreement for enforcement after Employer has terminated Employee's employment arbitrarily, capriciously, or in bad faith. Nothing in this agreement limits any right or defense available to Employee under applicable law, including any defense based on the circumstances in which Employee's employment ends.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so that a court's refusal to enforce one covenant, or a court's decision to enforce a covenant only to a reasonable extent, does not affect the others.</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If a court finds any restrictive covenant in this agreement overbroad, the parties request that the court enforce that covenant to the maximum extent the court finds reasonable, modifying it as needed to do so. Each restrictive covenant is intended to be enforceable as written, without reliance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Obligations under the Confidential Information and Trade Secret Protection section survive for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assignment of the covenants in this agreement in connection with a transfer of Employer's business must be made expressly and in writing.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(Mississippi)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(Mississippi)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(Mississippi)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