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under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those Protected Interests absent the protections in this agreement. The parties agree that each covenant is reasonable in duration, territory, and restrained activity, and is sized to the work Employee actually performs and the relationships Employee actually holds rather than to the whole of Employer's business.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Employee's own solicitation of a Covered Customer; except as expressly provided elsewhere in this agreement, it does not prohibit Employee from accepting business from a Covered Customer who initiates contact with Employee and whom Employee did not Solicit. This covenant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 and is intended to preserve patient access and continuity of care.</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as provided in Miss. R. Prof'l Conduct 5.6(a).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No Enforcement After a Bad-Faith Termination</w:t>
      </w:r>
    </w:p>
    <w:p>
      <w:pPr>
        <w:pStyle w:val="OABody"/>
        <w:spacing w:before="0" w:after="120" w:line="340" w:lineRule="auto"/>
        <w:ind w:left="720"/>
      </w:pPr>
      <w:r>
        <w:t xml:space="preserve">Employer will not rely on any covenant in this agreement for enforcement after Employer has terminated Employee's employment arbitrarily, capriciously, or in bad faith. Nothing in this agreement limits any right or defense available to Employee under applicable law, including any defense based on the circumstances in which Employee's employment ends.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 court finds any restrictive covenant in this agreement overbroad, the parties request that the court enforce that covenant to the maximum extent the court finds reasonable, modifying it as needed to do so. Each restrictive covenant is intended to be enforceable as written, without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