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Jersey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New Jersey covenant may protect under the Solari/Whitmyer reasonableness rule, namely Employer's trade secrets as defined by the New Jersey Trade Secrets Act (N.J.S.A. 56:15-2), Employer's confidential business information, and Employer's customer relationships, but not Employer's interest in avoiding ordinary competition or the employee's general skill and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Jersey Trade Secrets Act, N.J.S.A. 56:15-2.</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reasonable for that protection. New Jersey has no general non-compete statute for the ordinary workforce; enforceability is governed by the common-law reasonableness rule of Solari Industries, Inc. v. Malady, 55 N.J. 571 (1970), and Whitmyer Bros., Inc. v. Doyle, 58 N.J. 25 (1971), restated in Community Hospital Group, Inc. v. More, 183 N.J. 36 (2005), under which a post-employment restraint is given effect only where it protects the employer's legitimate interests, imposes no undue hardship on the employee, and is not injurious to the public. The recognized legitimate interests are Employer's trade secrets, confidential business information, and customer relationships (Whitmyer; Ingersoll-Rand Co. v. Ciavatta, 110 N.J. 609 (1988)); a covenant that merely suppresses ordinary competition or the employee's general skill and knowledge protects nothing the doctrine recognizes. The parties acknowledge that Employer would not provide Employee with access to these Protected Interests absent the protections in this agreement. Each covenant is intended to be reasonable in time, territory, and scope, to impose no undue hardship on Employee, and to cause no injury to the public. A post-employment covenant is scrutinized more closely than a covenant tied to the sale of a business, which is more freely enforceable as protection of the goodwill sold.</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the continuation of Employee's employment after acknowledging the covenants in this agreement is itself sufficient consideration, because New Jersey finds consideration for a post-employment restraint in either the original contract of employment or in the continuation of employment after signing (Hogan v. Bergen Brunswig Corp., 153 N.J. Super. 37 (App. Div. 1977));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Solari/Whitmyer reasonableness test on legitimate interest, undue hardship, and public interest.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New Jersey law, including the New Jersey Trade Secrets Act, N.J.S.A. 56:15-1 et seq., which defines a trade secret by its independent economic value derived from not being generally known and not being readily ascertainable by proper means, and by efforts that are reasonable under the circumstances to maintain its secrecy (N.J.S.A. 56:15-2).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the New Jersey Trade Secrets Act, N.J.S.A. 56:15-2.</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is analyzed under the Solari/Whitmyer reasonableness rule and reaches only Covered Employees during the Restricted Period, no broader than necessary to protect Employer's workforce stability and customer relationships.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New Jersey courts analyze this customer non-solicitation covenant under the Solari/Whitmyer reasonableness rule; it reaches only Covered Customers with whom Employee had material contact and is no broader than necessary to protect Employer's customer relationships. Tiered restrictive covenants built around actual customer relationships have been upheld as furthering legitimate business interests and complying with New Jersey public policy (ADP, LLC v. Rafferty, 923 F.3d 113 (3d Cir. 2019)). This covenant maps directly onto Employer's customer-relationship interest and, together with the confidentiality and trade-secret protections in this agreement,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undue-hardship and public-interest prongs of the Solari/Whitmyer reasonableness rule it is sized tightly to the customer relationships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confidential business information, and customer relationships — and not to restrain ordinary competition or the general skill and knowledge Employee acquired. Consistent with the Solari/Whitmyer reasonableness rule, the parties intend this covenant to protect Employer's legitimate interests,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protects an identified interest rather than suppressing competition at large.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Solari/Whitmyer reasonableness rule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Consistent with the discrimination-claim concealment carve-out below, no part of this section has the purpose or effect of concealing the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No provision of this agreement, including any confidentiality or non-disparagement obligation, has the purpose or effect of concealing the details relating to a claim of discrimination, retaliation, or harassment. Under N.J.S.A. 10:5-12.8(a), added by P.L.2019, c.39, such a provision is against public policy and unenforceable against a current or former employee, and the label on the clause does not control (Savage v. Township of Neptune, 257 N.J. 204 (2024)). A party that enforces or attempts to enforce a provision barred by that rule is liable for the employee's reasonable attorney fees and costs (N.J.S.A. 10:5-12.9). This carve-out is surgical: N.J.S.A. 10:5-12.8(c) expressly preserves an employer's agreement that the employee not compete and not disclose proprietary information, so the covenant suite in this agreement remains intact and only the claim-details concealment is excluded.</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 RPC 5.6 bars a lawyer from participating in offering or making a partnership or employment agreement that restricts post-termination practice rights, and that bar reaches indirect financial disincentives — such as compensation forfeitures aimed at a departing lawyer who keeps serving firm clients — not just outright bans (Jacob v. Norris, McLaughlin &amp; Marcus, 128 N.J. 10 (1992)). The rule applies to in-house and corporate counsel practicing in New Jersey whether or not admitted in the State (N.J. Advisory Comm. on Prof'l Ethics, Op. 708 (2006)). Any covenant in this agreement is void to the extent it would operate as such a restriction on a lawyer.</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his or her therapist of choice. N.J.A.C. 13:42-10.16 forbids a licensed psychologist from entering into any business agreement that so interferes, and the uniquely personal patient-psychologist relationship forbids restraints that might interrupt an ongoing course of treatment (Comprehensive Psychology Sys., P.C. v. Prince, 375 N.J. Super. 273 (App. Div. 2005)). This bar operates independently of the Solari/Whitmyer weighing: a covenant whose duration and territory look reasonable still fails to the extent it would cut a client off from the treating psychologist, and any such covenant in this agreement is void to that extent.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drafted against New Jersey's heightened public-interest scrutiny for physician covenants and not as an ordinary commercial restraint. Physician covenants are not per se void, but the public-interest prong does the heavy lifting: the New Jersey Supreme Court applied the three-part test to a physician covenant and reduced its geographic reach so that enforcement would not impair the public's access to care, rather than voiding the covenant (Community Hospital Group, Inc. v. More, 183 N.J. 36 (2005)), and the trial court must determine whether the covenant protects a legitimate interest, imposes no undue hardship, and is not adverse to the public interest (Pierson v. Medical Health Centers, P.A., 183 N.J. 65 (2005)). Accordingly, any physician covenant in this agreement is intended to use a narrow radius and a short term, to preserve patient access and continuity of care, and to be enforced only to the extent it survives that heightened scrutiny under the Solari/Whitmyer reasonableness rule. There is no enacted New Jersey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or is narrowed under the Solari/Whitmyer reasonableness analysis may expose Employer to a tortious-interference claim, and that it should keep any such disclosure factual, tied to the covenant's actual terms, and conditioned on a restraint it is prepared to defend on all three prongs.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tolled and extended for the period during which Employee is in actual violation of the covenant, so that the full duration of the restriction runs from the date the violation ends. New Jersey affirmatively supports breach-tied tolling: the Appellate Division enforced contractual tolling and remanded for the trial court to toll the time limitations of the covenants during the period of the defendants' violations (ADP, LLC v. Kusins, 460 N.J. Super. 368 (App. Div. 2019)). The extension is tied to a real, court-determined breach and not to the mere passage of time or the pendency of litigation: restrictive covenants are not favored, and a court refused to extend a covenant beyond its stated period absent justification (Community Hospital Group, Inc. v. More, 183 N.J. 36 (2005)). The parties do not intend an automatic,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New Jersey Trade Secrets Act (N.J.S.A. 56:15-1 et seq.), under which actual or threatened misappropriation of a trade secret may be enjoined independent of any covenant. A court still weighs each covenant's reasonableness, prong by prong, before restraining anyone. Employer further acknowledges the asymmetric exposure created by N.J.S.A. 10:5-12.9: a party that enforces or attempts to enforce a provision concealing the details of a discrimination, retaliation, or harassment claim is liable for the employee's reasonable attorney fees and costs, so any fee-shifting the parties agree to must be read consistently with the discrimination-claim concealment carve-out above.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A severability and reformation clause works with the grain of New Jersey doctrine: Solari Industries, Inc. v. Malady, 55 N.J. 571 (1970), abandoned the void-per-se rule in favor of total or partial enforcement of noncompetitive agreements to the extent reasonable under the circumstances, and curtailing an overbroad covenant's scope is the approach the New Jersey Supreme Court prescribes (ADP, LLC v. Rafferty, 923 F.3d 113 (3d Cir. 2019); ADP, LLC v. Kusins, 460 N.J. Super. 368 (App. Div. 2019), applying blue-penciling to narrow overbroad non-solicitation provisions). Partial enforcement is the norm, and Employer therefore requests reformation if any restraint in this agreement is found to be overbroad. That latitude is no license to overreach: reformation is an equitable remedy, so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Keeping survival stated per covenant keeps the perpetual trade-secret track and the finite covenant tracks visibly distinct, because duration is a live prong of the reasonableness weighing rather than boilerplate.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 but not its enforceability: whoever ends up enforcing it must still show a legitimate interest, no undue hardship, and no public injury on the facts as they then stand.</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New Jersey law governs, the enforceability of each restrictive covenant is determined under the common-law reasonableness rule of Solari Industries, Inc. v. Malady and Whitmyer Bros., Inc. v. Doyle and their progeny; there is no general New Jersey non-compete statute for the ordinary workforce and no statutory safe harbor, so each covenant is drafted to survive the holistic reasonableness analysis rather than to escape it. Disputes will be resolved in the courts of the Governing Law state, subject to non-waivable rights under applicable law. The parties intend that the governing-law and venue choices match where Employee actually lives and works, because a clause selecting another state means the analysis must be re-run under that state's doctrine before any of these conclusions hold.</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