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New Jersey covenant may protect under the Solari/Whitmyer reasonableness rule, namely Employer's trade secrets as defined by the New Jersey Trade Secrets Act (N.J.S.A. 56:15-2), Employer's confidential business information, and Employer's customer relationships, but not Employer's interest in avoiding ordinary competition or the employee's general skill and knowledge.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New Jersey Trade Secrets Act, N.J.S.A. 56:15-2.</w:t>
      </w:r>
    </w:p>
    <w:p>
      <w:pPr>
        <w:pStyle w:val="OABody"/>
        <w:keepNext/>
        <w:numPr>
          <w:ilvl w:val="0"/>
          <w:numId w:val="1"/>
        </w:numPr>
        <w:spacing w:before="320" w:after="120" w:line="340" w:lineRule="auto"/>
        <w:jc w:val="left"/>
      </w:pPr>
      <w:r>
        <w:rPr>
          <w:b/>
          <w:bCs/>
        </w:rPr>
        <w:t xml:space="preserve">Recitals and Legitimate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reasonable for that protection. New Jersey has no general non-compete statute for the ordinary workforce; enforceability is governed by the common-law reasonableness rule of Solari Industries, Inc. v. Malady, 55 N.J. 571 (1970), and Whitmyer Bros., Inc. v. Doyle, 58 N.J. 25 (1971), restated in Community Hospital Group, Inc. v. More, 183 N.J. 36 (2005), under which a post-employment restraint is given effect only where it protects the employer's legitimate interests, imposes no undue hardship on the employee, and is not injurious to the public. The recognized legitimate interests are Employer's trade secrets, confidential business information, and customer relationships (Whitmyer; Ingersoll-Rand Co. v. Ciavatta, 110 N.J. 609 (1988)); a covenant that merely suppresses ordinary competition or the employee's general skill and knowledge protects nothing the doctrine recognizes. The parties acknowledge that Employer would not provide Employee with access to these Protected Interests absent the protections in this agreement. Each covenant is intended to be reasonable in time, territory, and scope, to impose no undue hardship on Employee, and to cause no injury to the public. A post-employment covenant is scrutinized more closely than a covenant tied to the sale of a business, which is more freely enforceable as protection of the goodwill sold.</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employee, the parties agree that the continuation of Employee's employment after acknowledging the covenants in this agreement is itself sufficient consideration, because New Jersey finds consideration for a post-employment restraint in either the original contract of employment or in the continuation of employment after signing (Hogan v. Bergen Brunswig Corp., 153 N.J. Super. 37 (App. Div. 1977)); no separate payment, raise, or promotion is required.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not that they are reasonable — each covenant must independently satisfy the Solari/Whitmyer reasonableness test on legitimate interest, undue hardship, and public interest.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New Jersey law, including the New Jersey Trade Secrets Act, N.J.S.A. 56:15-1 et seq., which defines a trade secret by its independent economic value derived from not being generally known and not being readily ascertainable by proper means, and by efforts that are reasonable under the circumstances to maintain its secrecy (N.J.S.A. 56:15-2).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the New Jersey Trade Secrets Act, N.J.S.A. 56:15-2.</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As the lightest restraint in this agreement, this covenant is analyzed under the Solari/Whitmyer reasonableness rule and reaches only Covered Employees during the Restricted Period, no broader than necessary to protect Employer's workforce stability and customer relationships.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New Jersey courts analyze this customer non-solicitation covenant under the Solari/Whitmyer reasonableness rule; it reaches only Covered Customers with whom Employee had material contact and is no broader than necessary to protect Employer's customer relationships. Tiered restrictive covenants built around actual customer relationships have been upheld as furthering legitimate business interests and complying with New Jersey public policy (ADP, LLC v. Rafferty, 923 F.3d 113 (3d Cir. 2019)). This covenant maps directly onto Employer's customer-relationship interest and, together with the confidentiality and trade-secret protections in this agreement, is often a stronger and more readily enforceable protection than a broad non-compete.</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because it presses harder on the undue-hardship and public-interest prongs of the Solari/Whitmyer reasonableness rule it is sized tightly to the customer relationships it protects and reaches only Covered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trade secrets, confidential business information, and customer relationships — and not to restrain ordinary competition or the general skill and knowledge Employee acquired. Consistent with the Solari/Whitmyer reasonableness rule, the parties intend this covenant to protect Employer's legitimate interests, to impose no undue hardship on Employee, and to cause no injury to the public, with its time and territory sized to Employee's actual role and Employer's actual market. If Employer has identified specific competitors in Cover Terms under Specified Competitors, the parties intend this covenant to be understood and, if necessary, enforced as limited to those named competitors, because a restraint bound to named competitors is strong evidence that it protects an identified interest rather than suppressing competition at large.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post-employment restraint analyzed under the Solari/Whitmyer reasonableness rule and is drawn no broader than necessary to protect Employer's Protected Interests.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 Consistent with the discrimination-claim concealment carve-out below, no part of this section has the purpose or effect of concealing the details relating to a claim of discrimination, retaliation, or harassment.</w:t>
      </w:r>
    </w:p>
    <w:p>
      <w:pPr>
        <w:pStyle w:val="OABody"/>
        <w:keepNext/>
        <w:numPr>
          <w:ilvl w:val="0"/>
          <w:numId w:val="1"/>
        </w:numPr>
        <w:spacing w:before="320" w:after="120" w:line="340" w:lineRule="auto"/>
        <w:jc w:val="left"/>
      </w:pPr>
      <w:r>
        <w:rPr>
          <w:b/>
          <w:bCs/>
        </w:rPr>
        <w:t xml:space="preserve">Discrimination, Retaliation, and Harassment Claims Not Concealed</w:t>
      </w:r>
    </w:p>
    <w:p>
      <w:pPr>
        <w:pStyle w:val="OABody"/>
        <w:spacing w:before="0" w:after="120" w:line="340" w:lineRule="auto"/>
        <w:ind w:left="720"/>
      </w:pPr>
      <w:r>
        <w:t xml:space="preserve">No provision of this agreement, including any confidentiality or non-disparagement obligation, has the purpose or effect of concealing the details relating to a claim of discrimination, retaliation, or harassment. Under N.J.S.A. 10:5-12.8(a), added by P.L.2019, c.39, such a provision is against public policy and unenforceable against a current or former employee, and the label on the clause does not control (Savage v. Township of Neptune, 257 N.J. 204 (2024)). A party that enforces or attempts to enforce a provision barred by that rule is liable for the employee's reasonable attorney fees and costs (N.J.S.A. 10:5-12.9). This carve-out is surgical: N.J.S.A. 10:5-12.8(c) expressly preserves an employer's agreement that the employee not compete and not disclose proprietary information, so the covenant suite in this agreement remains intact and only the claim-details concealment is excluded.</w:t>
      </w:r>
    </w:p>
    <w:p>
      <w:pPr>
        <w:pStyle w:val="OABody"/>
        <w:keepNext/>
        <w:numPr>
          <w:ilvl w:val="0"/>
          <w:numId w:val="1"/>
        </w:numPr>
        <w:spacing w:before="320" w:after="120" w:line="340" w:lineRule="auto"/>
        <w:jc w:val="left"/>
      </w:pPr>
      <w:r>
        <w:rPr>
          <w:b/>
          <w:bCs/>
        </w:rPr>
        <w:t xml:space="preserve">No Practice Restrictions for Lawyers</w:t>
      </w:r>
    </w:p>
    <w:p>
      <w:pPr>
        <w:pStyle w:val="OABody"/>
        <w:spacing w:before="0" w:after="120" w:line="340" w:lineRule="auto"/>
        <w:ind w:left="720"/>
      </w:pPr>
      <w:r>
        <w:t xml:space="preserve">If Employee is a lawyer, no provision of this agreement restricts Employee's right to practice law after the relationship ends, apart from an agreement concerning benefits upon retirement. RPC 5.6 bars a lawyer from participating in offering or making a partnership or employment agreement that restricts post-termination practice rights, and that bar reaches indirect financial disincentives — such as compensation forfeitures aimed at a departing lawyer who keeps serving firm clients — not just outright bans (Jacob v. Norris, McLaughlin &amp; Marcus, 128 N.J. 10 (1992)). The rule applies to in-house and corporate counsel practicing in New Jersey whether or not admitted in the State (N.J. Advisory Comm. on Prof'l Ethics, Op. 708 (2006)). Any covenant in this agreement is void to the extent it would operate as such a restriction on a lawyer.</w:t>
      </w:r>
    </w:p>
    <w:p>
      <w:pPr>
        <w:pStyle w:val="OABody"/>
        <w:keepNext/>
        <w:numPr>
          <w:ilvl w:val="0"/>
          <w:numId w:val="1"/>
        </w:numPr>
        <w:spacing w:before="320" w:after="120" w:line="340" w:lineRule="auto"/>
        <w:jc w:val="left"/>
      </w:pPr>
      <w:r>
        <w:rPr>
          <w:b/>
          <w:bCs/>
        </w:rPr>
        <w:t xml:space="preserve">No Client-Access Restrictions for Psychologists</w:t>
      </w:r>
    </w:p>
    <w:p>
      <w:pPr>
        <w:pStyle w:val="OABody"/>
        <w:spacing w:before="0" w:after="120" w:line="340" w:lineRule="auto"/>
        <w:ind w:left="720"/>
      </w:pPr>
      <w:r>
        <w:t xml:space="preserve">If Employee is a licensed psychologist, no provision of this agreement interferes with or restricts a client's ability to see or continue to see his or her therapist of choice. N.J.A.C. 13:42-10.16 forbids a licensed psychologist from entering into any business agreement that so interferes, and the uniquely personal patient-psychologist relationship forbids restraints that might interrupt an ongoing course of treatment (Comprehensive Psychology Sys., P.C. v. Prince, 375 N.J. Super. 273 (App. Div. 2005)). This bar operates independently of the Solari/Whitmyer weighing: a covenant whose duration and territory look reasonable still fails to the extent it would cut a client off from the treating psychologist, and any such covenant in this agreement is void to that extent.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any covenant in this agreement restraining Employee from the practice of medicine is drafted against New Jersey's heightened public-interest scrutiny for physician covenants and not as an ordinary commercial restraint. Physician covenants are not per se void, but the public-interest prong does the heavy lifting: the New Jersey Supreme Court applied the three-part test to a physician covenant and reduced its geographic reach so that enforcement would not impair the public's access to care, rather than voiding the covenant (Community Hospital Group, Inc. v. More, 183 N.J. 36 (2005)), and the trial court must determine whether the covenant protects a legitimate interest, imposes no undue hardship, and is not adverse to the public interest (Pierson v. Medical Health Centers, P.A., 183 N.J. 65 (2005)). Accordingly, any physician covenant in this agreement is intended to use a narrow radius and a short term, to preserve patient access and continuity of care, and to be enforced only to the extent it survives that heightened scrutiny under the Solari/Whitmyer reasonableness rule. There is no enacted New Jersey statute banning health-care non-competes, and this agreement does not assume any pending legislation.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notice built on a covenant that later fails or is narrowed under the Solari/Whitmyer reasonableness analysis may expose Employer to a tortious-interference claim, and that it should keep any such disclosure factual, tied to the covenant's actual terms, and conditioned on a restraint it is prepared to defend on all three prongs.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tolled and extended for the period during which Employee is in actual violation of the covenant, so that the full duration of the restriction runs from the date the violation ends. New Jersey affirmatively supports breach-tied tolling: the Appellate Division enforced contractual tolling and remanded for the trial court to toll the time limitations of the covenants during the period of the defendants' violations (ADP, LLC v. Kusins, 460 N.J. Super. 368 (App. Div. 2019)). The extension is tied to a real, court-determined breach and not to the mere passage of time or the pendency of litigation: restrictive covenants are not favored, and a court refused to extend a covenant beyond its stated period absent justification (Community Hospital Group, Inc. v. More, 183 N.J. 36 (2005)). The parties do not intend an automatic,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New Jersey Trade Secrets Act (N.J.S.A. 56:15-1 et seq.), under which actual or threatened misappropriation of a trade secret may be enjoined independent of any covenant. A court still weighs each covenant's reasonableness, prong by prong, before restraining anyone. Employer further acknowledges the asymmetric exposure created by N.J.S.A. 10:5-12.9: a party that enforces or attempts to enforce a provision concealing the details of a discrimination, retaliation, or harassment claim is liable for the employee's reasonable attorney fees and costs, so any fee-shifting the parties agree to must be read consistently with the discrimination-claim concealment carve-out above.</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A severability and reformation clause works with the grain of New Jersey doctrine: Solari Industries, Inc. v. Malady, 55 N.J. 571 (1970), abandoned the void-per-se rule in favor of total or partial enforcement of noncompetitive agreements to the extent reasonable under the circumstances, and curtailing an overbroad covenant's scope is the approach the New Jersey Supreme Court prescribes (ADP, LLC v. Rafferty, 923 F.3d 113 (3d Cir. 2019); ADP, LLC v. Kusins, 460 N.J. Super. 368 (App. Div. 2019), applying blue-penciling to narrow overbroad non-solicitation provisions). Partial enforcement is the norm, and Employer therefore requests reformation if any restraint in this agreement is found to be overbroad. That latitude is no license to overreach: reformation is an equitable remedy, so each restrictive covenant in this agreement is drawn as a tiered, severable, reasonable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Keeping survival stated per covenant keeps the perpetual trade-secret track and the finite covenant tracks visibly distinct, because duration is a live prong of the reasonableness weighing rather than boilerplate.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moves the covenant but not its enforceability: whoever ends up enforcing it must still show a legitimate interest, no undue hardship, and no public injury on the facts as they then stand.</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New Jersey law governs, the enforceability of each restrictive covenant is determined under the common-law reasonableness rule of Solari Industries, Inc. v. Malady and Whitmyer Bros., Inc. v. Doyle and their progeny; there is no general New Jersey non-compete statute for the ordinary workforce and no statutory safe harbor, so each covenant is drafted to survive the holistic reasonableness analysis rather than to escape it. Disputes will be resolved in the courts of the Governing Law state, subject to non-waivable rights under applicable law. The parties intend that the governing-law and venue choices match where Employee actually lives and works, because a clause selecting another state means the analysis must be re-run under that state's doctrine before any of these conclusions hold.</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