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Oregon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b w:val="0"/>
          <w:bCs w:val="0"/>
        </w:rPr>
        <w:t xml:space="preserve">12 months</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recognized by ORS 653.295(2): Employee's access to trade secrets as defined in ORS 646.461, and Employee's access to competitively sensitive confidential business or professional information that otherwise would not qualify as a trade secret,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Oregon Uniform Trade Secrets Act, ORS 646.461(4).</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is supported by, and no greater than required to protect, one or more of Employer's Protected Interests. If this agreement includes a covenant not to compete, Employer represents that it has a protectable interest within the meaning of ORS 653.295(2) because Employee has access to Employer's trade secrets, as defined in ORS 646.461, or to competitively sensitive confidential business or professional information that would not qualify as a trade secret, including product development plans, product launch plans, marketing strategy, or sales plans. Consistent with Nike, Inc. v. McCarthy, 379 F.3d 576 (9th Cir. 2004), the protectable-interest inquiry is concrete: it turns on the specific confidential and strategic information Employee can exploit at a competitor, not a generic competitive concern. Employer would not provide Employee with access to these Protected Interests absent the protections in this agreement, and each covenant is intended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that covenant rests on one of the two formation gateways required by ORS 653.295(1)(a): either Employer informed Employee, in a written employment offer received by Employee at least two weeks before the first day of Employee's employment, that a noncompetition agreement is required as a condition of employment, or the covenant was entered into upon a subsequent bona fide advancement of Employee by Employer. Continued employment alone is not a qualifying trigger; consistent with Nike, Inc. v. McCarthy, 379 F.3d 576 (9th Cir. 2004), a covenant signed during employment is valid only when tied to a genuine advancement. Employer has advised Employee that Employee may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 including the Oregon Uniform Trade Secrets Act, ORS 646.461, as ORS 653.295(6) expressly preserves.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by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coordinate this certification with its obligation under ORS 653.295(1)(d) to provide Employee a signed, written copy of the terms of any noncompetition covenant within 30 days after the date of termination.</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Under ORS 653.295(5)(b), a covenant not to solicit employees of the employer is not subject to the noncompetition requirements of ORS 653.295(1) and (3); it is governed by common-law reasonableness.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ORS 653.295(5)(b), a covenant not to solicit or transact business with customers of the employer is not subject to the noncompetition requirements of ORS 653.295(1) and (3); it is governed by common-law reasonableness. Consistent with Oregon Psychiatric Partners, LLP v. Henry, 293 Or. App. 471, 429 P.3d 399 (2018), the Covered Customers class is limited to customers with an active or ongoing relationship with Employer and does not include former or merely incidental patrons.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Under ORS 653.295(5)(b), a covenant not to transact business with customers of the employer is not subject to the noncompetition requirements of ORS 653.295(1) and (3), so long as it stays confined to Employer's customers with an active or ongoing relationship as construed in Oregon Psychiatric Partners, LLP v. Henry, 293 Or. App. 471, 429 P.3d 399 (2018).</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ORS 653.295 and is void and unenforceable unless each statutory condition is met: Employee received the two-week written-offer notice or the covenant was entered into upon a bona fide advancement (ORS 653.295(1)(a)); Employee is an exempt salaried employee described in ORS 653.020(3) whose total annual gross salary and commissions, calculated on an annual basis at the time of termination, exceed the inflation-indexed threshold published by the Oregon Bureau of Labor and Industries (ORS 653.295(1)(b), (e)), or Employer commits to the garden-leave payment stated in Cover Terms and the garden-leave clause below (ORS 653.295(7)); Employer has a protectable interest under ORS 653.295(2); and Employer provides Employee a signed, written copy of the terms within 30 days after termination (ORS 653.295(1)(d)). The Restricted Period for this covenant does not exceed 12 months from the date of Employee's termination, and any portion of a term in excess of 12 months is void and unenforceable under ORS 653.295(3). Passive Public Holdings are permitted.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If Employee does not satisfy the exempt-status or salary-threshold conditions of ORS 653.295(1)(b) and (e), the non-compete in this agreement is enforceable, for the full term of the agreement and for up to 12 months, only if Employer agrees in writing to the garden-leave payment stated in Cover Terms. As required by ORS 653.295(7), that payment consists of </w:t>
      </w:r>
      <w:r>
        <w:rPr>
          <w:b w:val="0"/>
          <w:bCs w:val="0"/>
        </w:rPr>
        <w:t xml:space="preserve">payment to Employee, for the time Employee is restricted from working, of the greater of (a) at least 50 percent of Employee's annual gross base salary and commissions at the time of termination or (b) 50 percent of the inflation-indexed threshold amount published by the Oregon Bureau of Labor and Industries for the calendar year preceding termination</w:t>
      </w:r>
      <w:r>
        <w:t xml:space="preserve">. This garden-leave path overrides only ORS 653.295(1)(b) and (e); the two-week written-offer notice or bona fide advancement, the statutory protectable interest, the 12-month cap, and the delivery of a signed copy within 30 days after termination all continue to apply.</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and enjoys none of the ORS 653.295(5) carve-out that protects non-solicits; it therefore applies only on the same terms as the non-compete in this agreement, including the ORS 653.295(1) formation, exempt-status or garden-leave, and protectable-interest conditions and the 12-month cap of ORS 653.295(3).</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Consistent with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genuine trade-secret and proprietary-information interests, which Oregon law fully preserves.</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Notwithstanding any other provision of this agreement, if Employee is a medical licensee, no covenant in this agreement restricts Employee's practice of medicine or practice of nursing in favor of a person as defined in ORS 442.015, a management services organization, or a hospital as defined in ORS 442.015 or a hospital-affiliated clinic as defined in ORS 442.612; any such restriction is void and unenforceable under ORS 653.297(2)(a). This exclusion applies regardless of the agreement's effective date (ORS 653.298). The narrow exceptions are preserved: a licensee who owns or controls an ownership or membership interest equivalent to 1.5 percent or more of the entity (enforceable to the extent ORS 653.295 provides), a covenant tied to a professional medical entity's documented recruitment investment subject to the statutory multi-year caps, and a licensee who does not engage directly in providing medical, health care, or clinical services (ORS 653.297(2)(b)).</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Because an Oregon non-compete that misses a statutory condition is void from the start under ORS 653.295, Employer conditions any such notice on a covenant that actually satisfies the statutory gates, and Employee consents to disclosure only on that basis.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that is not subject to the ORS 653.295(3) non-compete cap, the Restricted Period for that covenant is extended by one day for each day of the breach. The Restricted Period for the non-compete is not extended beyond 12 months from the date of Employee's termination; ORS 653.295(3) measures the 12-month maximum from termination and voids the excess, and no tolling or extension mechanism operates to push the effective restraint on competition past that ceiling. Oregon authority does not squarely resolve tolling of a non-compete, and this clause resolves the question conservatively within the statutory cap.</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and ORS 653.295(6) preserves Employer's right to protect trade secrets and proprietary information by injunction or any other lawful means regardless of the fate of any non-compete. If this agreement provides for attorney fees to enforce its provisions, that provision is mutual: under ORS 20.096(1), the party that prevails is entitled to reasonable attorney fees in addition to costs and disbursements, without regard to which party the contract specified. A one-way fee provision is therefore given reciprocal effect by operation of Oregon law.</w:t>
      </w:r>
    </w:p>
    <w:p>
      <w:pPr>
        <w:pStyle w:val="OABody"/>
        <w:keepNext/>
        <w:numPr>
          <w:ilvl w:val="0"/>
          <w:numId w:val="1"/>
        </w:numPr>
        <w:spacing w:before="320" w:after="120" w:line="340" w:lineRule="auto"/>
        <w:jc w:val="left"/>
      </w:pPr>
      <w:r>
        <w:rPr>
          <w:b/>
          <w:bCs/>
        </w:rPr>
        <w:t xml:space="preserve">Severability and No Reliance on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any savings or reformation clause to cure a non-conforming non-compete. A covenant that misses a statutory requirement of ORS 653.295 is void rather than voidable — unenforceable from the start, with no act of Employee required — and the statute's only built-in repair is targeted: ORS 653.295(3) severs the portion of a term beyond 12 months and voids the excess, which is not a license for a court to rewrite an otherwise non-conforming covenant. The non-compete in this agreement is accordingly drawn to the ORS 653.295 checklist at the outset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except that the non-compete does not survive beyond 12 months from the date of termination and any excess is void under ORS 653.295(3).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 successor that enforces a covenant made in the context of the employment relationship inherits the original Employer's compliance record under ORS 653.295, including the notice, delivery, and salary conditions.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ORS 653.295 and, where applicable, ORS 653.297 and 653.298. No choice-of-law provision may be applied to avoid the requirements of ORS 653.295 where Employee is a resident of Oregon rendering services primarily in Oregon: under ORS 15.320(3), notwithstanding any other provision of ORS 15.300 to 15.380 and subject to the limitations of ORS 15.305, the law of Oregon applies to a contract of employment for services to be rendered primarily in Oregon by a resident of Oregon.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introducing or broadening a non-compete is a new covenant that must independently satisfy the ORS 653.295(1)(a) formation gateway — a bona fide advancement, not continued employment alone.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