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Pennsylvania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is an existing employee signing after employment has already begun, the covenants are instead supported by the new and valuable consideration described in Cover Terms under New Consideration for a Mid-Employment Covenant — a corresponding benefit or beneficial change in employment status, such as a raise, bonus, or promotion — which Employer has actually delivered to Employee, and the parties do not rely on continued at-will employment, or on any statement of an intent to be legally bound, to supply that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in part, does not affect the others. Each covenant is drawn in separable tiers, with distinct duration, geography, and scope steps, so that any separable portion may be enforced on its own.</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enforcement limited to those portions of the restraint that are reasonably necessary for the protection of Employer's Protected Interests. Each restrictive covenant in this agreement is drawn as a tiered, severable restraint sized to the Protected Interests, and the parties intend each covenant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