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In Rhode Island the execution date fixes which current statutes and figures frame the covenant: the APRN practice-restriction ban took effect June 17, 2024, and the low-wage category is indexed to 250 percent of the federal poverty level for individuals, which changes over time.]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Rhode Island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Rhode Island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Protected-Category Screen Confirmation</w:t>
            </w:r>
          </w:p>
        </w:tc>
        <w:tc>
          <w:tcPr>
            <w:tcW w:w="6480" w:type="dxa"/>
            <w:tcMar>
              <w:top w:w="60" w:type="dxa"/>
              <w:left w:w="0" w:type="dxa"/>
              <w:bottom w:w="60" w:type="dxa"/>
              <w:right w:w="0" w:type="dxa"/>
            </w:tcMar>
          </w:tcPr>
          <w:p>
            <w:r>
              <w:rPr>
                <w:rFonts w:ascii="Arial" w:hAnsi="Arial" w:cs="Arial"/>
                <w:i/>
                <w:iCs/>
                <w:color w:val="494A4B"/>
                <w:sz w:val="21"/>
                <w:szCs w:val="21"/>
              </w:rPr>
              <w:t xml:space="preserve">Reviewer to confirm the worker is outside every protected category before including a non-compete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Employer's protected legitimate interests actually operate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 This definition is kept deliberately narrow so that this agreement's confidentiality terms remain a nondisclosure or confidentiality agreement excluded from the statutory non-compete definition (R.I. Gen. Laws § 28-59-2(8)(vi)) rather than an activity restraint in disguise.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Under Rhode Island common law the party seeking enforcement must show a legitimate interest as one of the enforcement elements, and protection from ordinary competition does not qualify (Durapin, Inc. v. Am. Prods., Inc., 559 A.2d 1051 (R.I. 1989)), so each covenant in this agreement identifies the specific interest it serves.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and each covenant in this agreement is included solely to protect Employer's Protected Interests and is drawn no broader than apparently necessary to protect the party in whose favor it runs, consistent with the enforcement elements Rhode Island requires (Durapin, Inc. v. Am. Prods., Inc., 559 A.2d 1051 (R.I. 1989)). Employer would not provide Employee with access to its Confidential Information and Trade Secrets absent the protections in this agreement. The parties acknowledge that covenants not to compete are disfavored and subject to strict judicial scrutiny in Rhode Island (Cranston Print Works Co. v. Pothier, 848 A.2d 213 (R.I. 2004)), and intend each covenant to be drawn within the scope Rhode Island law permits at the outset rather than in reliance on judicial narrowing.</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The Rhode Island Supreme Court has treated continued at-will employment, plus training and licensure support, as part of a lawful exchange supporting a customer restriction signed during employment (Griggs &amp; Browne Pest Control Co. v. Walls, 313 A.3d 616 (R.I. 2024)). Because consideration is one of the enforcement elements Employer must prove and Walls affirmed only a preliminary injunction under abuse-of-discretion review, this agreement records the specific consideration exchanged so the contemporaneous exchange is available if enforcement is later sought.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intended to operate as an agreement not to share Employer's trade-secret information after employment, which R.I. Gen. Laws § 28-59-3(c) expressly preserves, and is drafted to remain a nondisclosure or confidentiality agreement excluded from the statutory non-compete definition (§ 28-59-2(8)(vi)); it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For a worker within one of Rhode Island's protected categories or a regulated profession, the trade-secret and confidentiality terms carry the entire protective load, so the written certification is the cleanest contemporaneous evidence if protected material later surfaces at a competitor.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An employee non-solicit is excluded from the statutory definition of a noncompetition agreement (R.I. Gen. Laws § 28-59-2(8)), so this covenant is drafted as an employee restraint governed by common law and is kept within the Covered Employees class and the Restricted Period so the reasonableness showing stays easy to make.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customer non-solicit is excluded from the statutory definition of a noncompetition agreement (R.I. Gen. Laws § 28-59-2(8)) and is governed instead by common law; scoped to served customers over the Covered Customer Period rather than to a geographic territory, it follows the shape of the customer restraint the Rhode Island Supreme Court most recently enforced (Griggs &amp; Browne Pest Control Co. v. Walls, 313 A.3d 616, 626 (R.I. 2024)). This covenant is included solely to protect Employer's Protected Interests and is drawn no broader than apparently necessary to protect them. If Employee is a physician or an advanced practice registered nurse, a restraint that keeps Employee from current patients is a restriction of the right to practice that R.I. Gen. Laws §§ 5-37-33 / 5-34-50 void, and this covenant does not apply to and is not enforceable against such a provider with respect to that restriction.</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 a restraint on doing the work, not merely on chasing it — which pushes it toward the statutory definition of an agreement not to engage in specified competitive activities and toward the strict end of the common-law reasonableness test. The parties include this covenant only where a genuine Protected Interest supports it, and it is drawn no broader than apparently necessary to protect that interest (Cranston Print Works Co. v. Pothier, 848 A.2d 213 (R.I. 2004)).</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and is enforceable, only if Employee is outside every worker category the Rhode Island Noncompetition Agreement Act protects: it is unenforceable against an employee who is nonexempt under the Fair Labor Standards Act, an undergraduate or graduate student intern, an employee age eighteen or younger, or a low-wage employee whose average annual earnings are not more than two hundred fifty percent of the federal poverty level for individuals (R.I. Gen. Laws §§ 28-59-3(a), 28-59-2(7)). This covenant does not apply to and is not enforceable against a physician or an advanced practice registered nurse as a restriction of the right to practice (§§ 5-37-33 / 5-34-50). For a worker who clears those gates, this covenant is a disfavored restraint subject to strict judicial scrutiny (Cranston Print Works Co. v. Pothier, 848 A.2d 213 (R.I. 2004)); Employer bears the burden of showing the covenant is ancillary to a valid relationship, supported by consideration, protective of a legitimate interest, and no broader than apparently necessary (Durapin, Inc. v. Am. Prods., Inc., 559 A.2d 1051 (R.I. 1989)). Where Employer can identify its real competitors, the Specified Competitors listed in Cover Terms bound this covenant in place of, or in addition to, the Competitive Business definition, because a named list is strong evidence the restraint extends no further than apparently necessary.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is subject to the same Rhode Island gates: it does not apply to a protected-category worker, a physician, or an APRN, it must identify a legitimate interest that protection from the worker's capital alone will not supply, and it is drawn no broader than apparently necessary to protect Employer's Protected Interests (Durapin, Inc. v. Am. Prods., Inc., 559 A.2d 1051 (R.I. 1989)).</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under the statute effective June 17, 2024, and the remaining provisions stay in effect (R.I. Gen. Laws § 5-34-50). These bans reach more than a clause labeled non-compete: geographic practice limits and limits on treating, consulting with, or soliciting current patients are all restrictions of the right to practice. The one exception each statute shares is a covenant made in connection with the sale of a practice that lasts no more than five years. This clause describes what remains operative for such a provider rather than purporting to impose a restriction the statute voids.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binding Employee who is FLSA-nonexempt, a student intern, age eighteen or younger, or low-wage may be unenforceable in Rhode Island regardless of its terms (R.I. Gen. Laws § 28-59-3(a)), and that a restriction on a physician's or an APRN's right to practice is void (§§ 5-37-33 / 5-34-50), so this representation doubles as an intake screen surfacing that question before it matters.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because warning a new employer off Employee based on a restriction the law voids accomplishes nothing legally and reads as pressure rather than protection.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the Rhode Island practice note records no Rhode Island statute or decision addressing whether a restricted period is extended during a breach, so any extension mechanism rests on the general reasonableness test alone, with no authority blessing it and the state's strict-scrutiny posture weighing against surprise additions to the stated term.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Rhode Island's most recent enforcement of a customer restraint was a preliminary injunction reviewed only for abuse of discretion, and the employer still had to carry the enforcement elements (Griggs &amp; Browne Pest Control Co. v. Walls, 313 A.3d 616, 623 (R.I. 2024); Durapin, Inc. v. Am. Prods., Inc., 559 A.2d 1051 (R.I. 1989)); this recital starts that showing, it does not finish it. Where Employer's Trade Secrets are threatened, Employer may also seek an injunction against actual or threatened misappropriation under the Rhode Island Uniform Trade Secrets Act (R.I. Gen. Laws § 6-41-2(a)), and the contractual remedies in this agreement survive alongside the statutory ones (§ 6-41-7(b)).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 Consistent with R.I. Gen. Laws § 28-59-3(b), if a non-compete in this agreement is unenforceable against Employee under the Noncompetition Agreement Act, the remainder of this agreement survives, and a court may still impose a noncompetition restriction as a remedy for a breach of another agreement or of a statutory or common-law duty — a statutory severability rule that preserves the contract, not the banned covenant.</w:t>
      </w:r>
    </w:p>
    <w:p>
      <w:pPr>
        <w:pStyle w:val="OABody"/>
        <w:keepNext/>
        <w:numPr>
          <w:ilvl w:val="0"/>
          <w:numId w:val="1"/>
        </w:numPr>
        <w:spacing w:before="320" w:after="120" w:line="340" w:lineRule="auto"/>
        <w:jc w:val="left"/>
      </w:pPr>
      <w:r>
        <w:rPr>
          <w:b/>
          <w:bCs/>
        </w:rPr>
        <w:t xml:space="preserve">Partial Enforcement, Not Reliance on Reformation</w:t>
      </w:r>
    </w:p>
    <w:p>
      <w:pPr>
        <w:pStyle w:val="OABody"/>
        <w:spacing w:before="0" w:after="120" w:line="340" w:lineRule="auto"/>
        <w:ind w:left="720"/>
      </w:pPr>
      <w:r>
        <w:t xml:space="preserve">Rhode Island permits a court to modify and enforce an unreasonable restraint, whether or not its terms are divisible, unless the circumstances indicate bad faith or deliberate overreaching by the party seeking enforcement, and even then a court will go no further in granting relief than is reasonably necessary to protect that party's legitimate interests (Durapin, Inc. v. Am. Prods., Inc., 559 A.2d 1051, 1058-59 (R.I. 1989)). The parties intend that a court may so modify and partially enforce any covenant in this agreement. Because deliberate overreaching is the one posture that forfeits that modification, this agreement does not draft broad in reliance on judicial narrowing; each restrictive covenant is instead drawn no broader than reasonably necessary at the outset so the partial-enforcement route stays open.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Per-covenant survival keeps each clock independently checkable and mirrors the way Rhode Island law treats a banned restriction, the surviving contract, and the preserved trade-secret agreement as separable pieces (R.I. Gen. Laws § 28-59-3(b), (c)); this section does not fuse what the law splits.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Whoever ends up enforcing inherits the same Rhode Island burden — a valid underlying relationship, consideration, a legitimate interest, and a tailored restraint — so an assignment moves the covenant without upgrading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Rhode Island practice note records no Rhode Island anti-evasion statute and no controlling choice-of-law decision for restrictive covenants, so for a Rhode Island worker a clause naming another state is neither a reliable escape from the worker-category and profession bans nor a guaranteed dead letter; the parties select Rhode Island law and a Rhode Island forum for a Rhode Island-based worker to keep the enforceability analysis where the covenant's facts sit.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Rhode Island covenants are sometimes re-papered mid-employment (Griggs &amp; Browne Pest Control Co. v. Walls, 313 A.3d 616 (R.I. 2024)), any amendment that changes the scope of a restrictive covenant states which covenant version controls, so a refresh does not leave two restraints of different scope both arguably alive.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