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Rhode Island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Protected-Category Screen Confirmation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{worker_category_confirmation}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Passive Public Holdings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 This definition is kept deliberately narrow so that this agreement's confidentiality terms remain a nondisclosure or confidentiality agreement excluded from the statutory non-compete definition (R.I. Gen. Laws § 28-59-2(8)(vi)) rather than an activity restraint in disguise.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other Confidential Information, confidential customer relationships, and goodwill. Under Rhode Island common law the party seeking enforcement must show a legitimate interest as one of the enforcement elements, and protection from ordinary competition does not qualify (Durapin, Inc. v. Am. Prods., Inc., 559 A.2d 1051 (R.I. 1989)), so each covenant in this agreement identifies the specific interest it serves.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Rhode Island Uniform Trade Secrets Act, R.I. Gen. Laws § 6-41-1(4), and under applicable federal law, including information that derives independent economic value, actual or potential, from not being generally known to, and not being readily ascertainable through proper means by, another person who can obtain economic value from its disclosure or use, and that is the subject of reasonable efforts to maintain its secrecy (see also the federal Defend Trade Secrets Act, 18 U.S.C. § 1839(3)).</w:t>
      </w:r>
    </w:p>
    <w:p>
      <w:pPr>
        <w:pStyle w:val="OABody"/>
        <w:keepNext/>
        <w:numPr>
          <w:ilvl w:val="0"/>
          <w:numId w:val="1"/>
        </w:numPr>
        <w:spacing w:before="320" w:after="120" w:line="340" w:lineRule="auto"/>
        <w:jc w:val="left"/>
      </w:pPr>
      <w:r>
        <w:rPr>
          <w:b/>
          <w:bCs/>
        </w:rPr>
        <w:t xml:space="preserve">Recitals and Legitimate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goodwill with Employer's customers in the course of employment, and each covenant in this agreement is included solely to protect Employer's Protected Interests and is drawn no broader than apparently necessary to protect the party in whose favor it runs, consistent with the enforcement elements Rhode Island requires (Durapin, Inc. v. Am. Prods., Inc., 559 A.2d 1051 (R.I. 1989)). Employer would not provide Employee with access to its Confidential Information and Trade Secrets absent the protections in this agreement. The parties acknowledge that covenants not to compete are disfavored and subject to strict judicial scrutiny in Rhode Island (Cranston Print Works Co. v. Pothier, 848 A.2d 213 (R.I. 2004)), and intend each covenant to be drawn within the scope Rhode Island law permits at the outset rather than in reliance on judicial narrowing.</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the consideration exchanged for the restrictive covenants in this agreement — which may include the offer or continuation of at-will employment together with training, licensure support, access to Confidential Information and Trade Secrets, or other value — is adequate and is exchanged for those covenants. The Rhode Island Supreme Court has treated continued at-will employment, plus training and licensure support, as part of a lawful exchange supporting a customer restriction signed during employment (Griggs &amp; Browne Pest Control Co. v. Walls, 313 A.3d 616 (R.I. 2024)). Because consideration is one of the enforcement elements Employer must prove and Walls affirmed only a preliminary injunction under abuse-of-discretion review, this agreement records the specific consideration exchanged so the contemporaneous exchange is available if enforcement is later sought.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is intended to operate as an agreement not to share Employer's trade-secret information after employment, which R.I. Gen. Laws § 28-59-3(c) expressly preserves, and is drafted to remain a nondisclosure or confidentiality agreement excluded from the statutory non-compete definition (§ 28-59-2(8)(vi)); it does not prohibit Employee from using information that arises from Employee's general training, knowledge, skill, or experience, whether gained on the job or otherwise,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For a worker within one of Rhode Island's protected categories or a regulated profession, the trade-secret and confidentiality terms carry the entire protective load, so the written certification is the cleanest contemporaneous evidence if protected material later surfaces at a competitor.</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An employee non-solicit is excluded from the statutory definition of a noncompetition agreement (R.I. Gen. Laws § 28-59-2(8)), so this covenant is drafted as an employee restraint governed by common law and is kept within the Covered Employees class and the Restricted Period so the reasonableness showing stays easy to make.</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A customer non-solicit is excluded from the statutory definition of a noncompetition agreement (R.I. Gen. Laws § 28-59-2(8)) and is governed instead by common law; scoped to served customers over the Covered Customer Period rather than to a geographic territory, it follows the shape of the customer restraint the Rhode Island Supreme Court most recently enforced (Griggs &amp; Browne Pest Control Co. v. Walls, 313 A.3d 616, 626 (R.I. 2024)). This covenant is included solely to protect Employer's Protected Interests and is drawn no broader than apparently necessary to protect them. If Employee is a physician or an advanced practice registered nurse, a restraint that keeps Employee from current patients is a restriction of the right to practice that R.I. Gen. Laws §§ 5-37-33 / 5-34-50 void, and this covenant does not apply to and is not enforceable against such a provider with respect to that restriction.</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 a restraint on doing the work, not merely on chasing it — which pushes it toward the statutory definition of an agreement not to engage in specified competitive activities and toward the strict end of the common-law reasonableness test. The parties include this covenant only where a genuine Protected Interest supports it, and it is drawn no broader than apparently necessary to protect that interest (Cranston Print Works Co. v. Pothier, 848 A.2d 213 (R.I. 2004)).</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and is enforceable, only if Employee is outside every worker category the Rhode Island Noncompetition Agreement Act protects: it is unenforceable against an employee who is nonexempt under the Fair Labor Standards Act, an undergraduate or graduate student intern, an employee age eighteen or younger, or a low-wage employee whose average annual earnings are not more than two hundred fifty percent of the federal poverty level for individuals (R.I. Gen. Laws §§ 28-59-3(a), 28-59-2(7)). This covenant does not apply to and is not enforceable against a physician or an advanced practice registered nurse as a restriction of the right to practice (§§ 5-37-33 / 5-34-50). For a worker who clears those gates, this covenant is a disfavored restraint subject to strict judicial scrutiny (Cranston Print Works Co. v. Pothier, 848 A.2d 213 (R.I. 2004)); Employer bears the burden of showing the covenant is ancillary to a valid relationship, supported by consideration, protective of a legitimate interest, and no broader than apparently necessary (Durapin, Inc. v. Am. Prods., Inc., 559 A.2d 1051 (R.I. 1989)). Where Employer can identify its real competitors, the Specified Competitors listed in Cover Terms bound this covenant in place of, or in addition to, the Competitive Business definition, because a named list is strong evidence the restraint extends no further than apparently necessary.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and is subject to the same Rhode Island gates: it does not apply to a protected-category worker, a physician, or an APRN, it must identify a legitimate interest that protection from the worker's capital alone will not supply, and it is drawn no broader than apparently necessary to protect Employer's Protected Interests (Durapin, Inc. v. Am. Prods., Inc., 559 A.2d 1051 (R.I. 1989)).</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Physician and APRN Practice Rights</w:t>
      </w:r>
    </w:p>
    <w:p>
      <w:pPr>
        <w:pStyle w:val="OABody"/>
        <w:spacing w:before="0" w:after="120" w:line="340" w:lineRule="auto"/>
        <w:ind w:left="720"/>
      </w:pPr>
      <w:r>
        <w:t xml:space="preserve">If Employee is a physician licensed to practice medicine, any restriction of Employee's right to practice medicine in this agreement is void and unenforceable with respect to that restriction, and the remaining provisions of this agreement stay in effect (R.I. Gen. Laws § 5-37-33). If Employee is an advanced practice registered nurse, any restriction of Employee's right to practice is likewise void and unenforceable with respect to that restriction under the statute effective June 17, 2024, and the remaining provisions stay in effect (R.I. Gen. Laws § 5-34-50). These bans reach more than a clause labeled non-compete: geographic practice limits and limits on treating, consulting with, or soliciting current patients are all restrictions of the right to practice. The one exception each statute shares is a covenant made in connection with the sale of a practice that lasts no more than five years. This clause describes what remains operative for such a provider rather than purporting to impose a restriction the statute voids.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binding Employee who is FLSA-nonexempt, a student intern, age eighteen or younger, or low-wage may be unenforceable in Rhode Island regardless of its terms (R.I. Gen. Laws § 28-59-3(a)), and that a restriction on a physician's or an APRN's right to practice is void (§§ 5-37-33 / 5-34-50), so this representation doubles as an intake screen surfacing that question before it matters.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Rhode Island law and Employer has a reasonable belief that Employee may breach that covenant. Employer will not present or attempt to enforce a covenant that is unenforceable against Employee under the Rhode Island Noncompetition Agreement Act or void under §§ 5-37-33 / 5-34-50, because warning a new employer off Employee based on a restriction the law voids accomplishes nothing legally and reads as pressure rather than protection.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the Rhode Island practice note records no Rhode Island statute or decision addressing whether a restricted period is extended during a breach, so any extension mechanism rests on the general reasonableness test alone, with no authority blessing it and the state's strict-scrutiny posture weighing against surprise additions to the stated term. Accordingly, 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Rhode Island's most recent enforcement of a customer restraint was a preliminary injunction reviewed only for abuse of discretion, and the employer still had to carry the enforcement elements (Griggs &amp; Browne Pest Control Co. v. Walls, 313 A.3d 616, 623 (R.I. 2024); Durapin, Inc. v. Am. Prods., Inc., 559 A.2d 1051 (R.I. 1989)); this recital starts that showing, it does not finish it. Where Employer's Trade Secrets are threatened, Employer may also seek an injunction against actual or threatened misappropriation under the Rhode Island Uniform Trade Secrets Act (R.I. Gen. Laws § 6-41-2(a)), and the contractual remedies in this agreement survive alongside the statutory ones (§ 6-41-7(b)).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Severability, and Partial Enforcement</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 Consistent with R.I. Gen. Laws § 28-59-3(b), if a non-compete in this agreement is unenforceable against Employee under the Noncompetition Agreement Act, the remainder of this agreement survives, and a court may still impose a noncompetition restriction as a remedy for a breach of another agreement or of a statutory or common-law duty — a statutory severability rule that preserves the contract, not the banned covenant.</w:t>
      </w:r>
    </w:p>
    <w:p>
      <w:pPr>
        <w:pStyle w:val="OABody"/>
        <w:keepNext/>
        <w:numPr>
          <w:ilvl w:val="0"/>
          <w:numId w:val="1"/>
        </w:numPr>
        <w:spacing w:before="320" w:after="120" w:line="340" w:lineRule="auto"/>
        <w:jc w:val="left"/>
      </w:pPr>
      <w:r>
        <w:rPr>
          <w:b/>
          <w:bCs/>
        </w:rPr>
        <w:t xml:space="preserve">Partial Enforcement, Not Reliance on Reformation</w:t>
      </w:r>
    </w:p>
    <w:p>
      <w:pPr>
        <w:pStyle w:val="OABody"/>
        <w:spacing w:before="0" w:after="120" w:line="340" w:lineRule="auto"/>
        <w:ind w:left="720"/>
      </w:pPr>
      <w:r>
        <w:t xml:space="preserve">Rhode Island permits a court to modify and enforce an unreasonable restraint, whether or not its terms are divisible, unless the circumstances indicate bad faith or deliberate overreaching by the party seeking enforcement, and even then a court will go no further in granting relief than is reasonably necessary to protect that party's legitimate interests (Durapin, Inc. v. Am. Prods., Inc., 559 A.2d 1051, 1058-59 (R.I. 1989)). The parties intend that a court may so modify and partially enforce any covenant in this agreement. Because deliberate overreaching is the one posture that forfeits that modification, this agreement does not draft broad in reliance on judicial narrowing; each restrictive covenant is instead drawn no broader than reasonably necessary at the outset so the partial-enforcement route stays open.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Per-covenant survival keeps each clock independently checkable and mirrors the way Rhode Island law treats a banned restriction, the surviving contract, and the preserved trade-secret agreement as separable pieces (R.I. Gen. Laws § 28-59-3(b), (c)); this section does not fuse what the law splits.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Whoever ends up enforcing inherits the same Rhode Island burden — a valid underlying relationship, consideration, a legitimate interest, and a tailored restraint — so an assignment moves the covenant without upgrading it.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The Rhode Island practice note records no Rhode Island anti-evasion statute and no controlling choice-of-law decision for restrictive covenants, so for a Rhode Island worker a clause naming another state is neither a reliable escape from the worker-category and profession bans nor a guaranteed dead letter; the parties select Rhode Island law and a Rhode Island forum for a Rhode Island-based worker to keep the enforceability analysis where the covenant's facts sit.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because Rhode Island covenants are sometimes re-papered mid-employment (Griggs &amp; Browne Pest Control Co. v. Walls, 313 A.3d 616 (R.I. 2024)), any amendment that changes the scope of a restrictive covenant states which covenant version controls, so a refresh does not leave two restraints of different scope both arguably alive.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