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Carolina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rPr>
              <w:t xml:space="preserve">the counties in which Employee actually provided services or serviced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eliminate ordinary competition. Employer would not provide Employee with access to the Protected Interests absent the protections in this agreement. Employer and Employee agree that each covenant is necessary to protect Employer's legitimate business interests, is reasonably limited in time and place, is not unduly harsh or oppressive on Employee's ability to earn a livelihood, is consistent with sound public policy, and is supported by valuable consideration,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it does not restrict Employee with respect to customers, vendors, referral sources, or business partners Employee never serviced or contacted. It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and is drawn no broader than reasonably necessary to protect Employer's goodwill in its customer relationships.</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As separately enforceable alternative restrictions that the parties agree stand on their own terms, if the primary Restricted Period for this covenant is found overbroad the parties agree the shorter duration stated in Cover Terms under Duration (Step-Down Alternative) applies, and if the primary Restricted Territory is found overbroad the parties agree the narrower area stated in Cover Terms under Restricted Territory (Step-Down Alternative)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No Reliance on Judicial Reformation; Written-In Alternatives</w:t>
      </w:r>
    </w:p>
    <w:p>
      <w:pPr>
        <w:pStyle w:val="OABody"/>
        <w:spacing w:before="0" w:after="120" w:line="340" w:lineRule="auto"/>
        <w:ind w:left="720"/>
      </w:pPr>
      <w:r>
        <w:t xml:space="preserve">The parties intend each covenant in this agreement to be enforceable as written. This agreement does not rely on any savings, reformation, or court-may-modify clause to cure overbreadth, and the parties do not ask any court to rewrite, blue-pencil, or reduce any covenant. Each restrictive covenant is a self-contained restraint, and the step-down duration and territory alternatives in the Non-Competition section and Cover Terms are agreed alternative restrictions that the parties intend to be separately enforceable on their own terms.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