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Timing and 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Signed After Employment Began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{signed_after_employment_began}</w:t>
            </w:r>
          </w:p>
        </w:tc>
      </w:tr>
      <w:tr>
        <w:tc>
          <w:tcPr>
            <w:tcW w:w="3600" w:type="dxa"/>
            <w:tcMar>
              <w:top w:w="60" w:type="dxa"/>
              <w:left w:w="345" w:type="dxa"/>
              <w:bottom w:w="60" w:type="dxa"/>
              <w:right w:w="0" w:type="dxa"/>
            </w:tcMar>
          </w:tcPr>
          <w:p>
            <w:r>
              <w:t xml:space="preserve">{IF signed_after_employment_began}</w:t>
            </w:r>
            <w:r>
              <w:rPr>
                <w:rFonts w:ascii="Arial" w:hAnsi="Arial" w:cs="Arial"/>
                <w:i/>
                <w:iCs/>
                <w:color w:val="494A4B"/>
                <w:sz w:val="21"/>
                <w:szCs w:val="21"/>
              </w:rPr>
              <w:t xml:space="preserve">Separate Consideration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{separate_consideration}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 (Step-Down Alternative)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{noncompete_duration_stepdown}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 (Step-Down Alternative)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{territory_stepdown}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Employer's Trade Secrets, and Employer's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ending on its stated end date without extension.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and, as an alternative narrower restriction the parties agree is separately enforceable on its own terms, the area described in Cover Terms under Restricted Territory (Step-Down Alternative).</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protected as a trade secret under the South Carolina Trade Secrets Act.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and each covenant is included to protect those Protected Interests and not to eliminate ordinary competition. Employer would not provide Employee with access to the Protected Interests absent the protections in this agreement. Employer and Employee agree that each covenant is necessary to protect Employer's legitimate business interests, is reasonably limited in time and place, is not unduly harsh or oppressive on Employee's ability to earn a livelihood, is consistent with sound public policy, and is supported by valuable consideration, and the parties intend each covenant to be enforceable as written.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and is supported by valuable consideration. If this agreement is signed at the outset of employment, the offer and commencement of employment is the consideration for the covenants in it. If, as indicated in Cover Terms under Signed After Employment Began, this agreement is entered into after Employee's employment has already begun, the separate consideration described in Cover Terms under Separate Consideration — such as a raise, bonus, promotion, or change in status — is provided in addition to continued employment specifically in exchange for these covenants.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and in any event for as long as the information remains a trade secret. Employee's obligations regarding other Confidential Information continue only for the finite period specified in Cover Terms under Other Confidential Information Duration. This section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any disclosure required by law, court order, or a government investigation;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or induce any Covered Employee to breach or terminate an employment relationship with Employer. This restriction does not prohibit Employee from providing a professional reference upon request, from hiring a person who responds to a general advertisement not directed specifically at Employer's employees, or from seeking or accepting the services of a person where Employee has not interfered with that person's employment relationship with Employer.</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it does not restrict Employee with respect to customers, vendors, referral sources, or business partners Employee never serviced or contacted. It is included to protect Employer's goodwill in its customer relationships and is drawn no broader than reasonably necessary to protect it.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reaches only Covered Customers and is drawn no broader than reasonably necessary to protect Employer's goodwill in its customer relationships.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numPr>
          <w:ilvl w:val="1"/>
          <w:numId w:val="1"/>
        </w:numPr>
        <w:spacing w:before="0" w:after="120" w:line="340" w:lineRule="auto"/>
      </w:pPr>
      <w:r>
        <w:t xml:space="preserve">During the Restricted Period, Employee must not engage in, be employed by, consult for, or have an active ownership interest in any Competitive Business within the Restricted Territory. This covenant is included to protect Employer's Protected Interests — its Confidential Information, Trade Secrets, and customer goodwill — and not to restrain ordinary competition, and its duration and territory are sized to Employee's actual role and Employer's actual market. If Employer has identified specific competitors in Cover Terms under Specified Competitors, this covenant is limited to those named competitors. Passive Public Holdings are permitted.</w:t>
      </w:r>
    </w:p>
    <w:p>
      <w:pPr>
        <w:pStyle w:val="OABody"/>
        <w:numPr>
          <w:ilvl w:val="1"/>
          <w:numId w:val="1"/>
        </w:numPr>
        <w:spacing w:before="0" w:after="120" w:line="340" w:lineRule="auto"/>
      </w:pPr>
      <w:r>
        <w:t xml:space="preserve">As separately enforceable alternative restrictions that the parties agree stand on their own terms, if the primary Restricted Period for this covenant is found overbroad the parties agree the shorter duration stated in Cover Terms under Duration (Step-Down Alternative) applies, and if the primary Restricted Territory is found overbroad the parties agree the narrower area stated in Cover Terms under Restricted Territory (Step-Down Alternative) applies.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including any restrictive covenant with a former employer.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No Extension of the Restricted Period</w:t>
      </w:r>
    </w:p>
    <w:p>
      <w:pPr>
        <w:pStyle w:val="OABody"/>
        <w:spacing w:before="0" w:after="120" w:line="340" w:lineRule="auto"/>
        <w:ind w:left="720"/>
      </w:pPr>
      <w:r>
        <w:t xml:space="preserve">Each Restricted Period is a fixed, definite term that runs from the date Employee's employment ends and expires on its stated end date. No Restricted Period is extended or tolled by any period of breach, dispute, or litigation.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statutory remedies for trade-secret misappropriation.</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does not affect the others.</w:t>
      </w:r>
    </w:p>
    <w:p>
      <w:pPr>
        <w:pStyle w:val="OABody"/>
        <w:keepNext/>
        <w:numPr>
          <w:ilvl w:val="0"/>
          <w:numId w:val="1"/>
        </w:numPr>
        <w:spacing w:before="320" w:after="120" w:line="340" w:lineRule="auto"/>
        <w:jc w:val="left"/>
      </w:pPr>
      <w:r>
        <w:rPr>
          <w:b/>
          <w:bCs/>
        </w:rPr>
        <w:t xml:space="preserve">No Reliance on Judicial Reformation; Written-In Alternatives</w:t>
      </w:r>
    </w:p>
    <w:p>
      <w:pPr>
        <w:pStyle w:val="OABody"/>
        <w:spacing w:before="0" w:after="120" w:line="340" w:lineRule="auto"/>
        <w:ind w:left="720"/>
      </w:pPr>
      <w:r>
        <w:t xml:space="preserve">The parties intend each covenant in this agreement to be enforceable as written. This agreement does not rely on any savings, reformation, or court-may-modify clause to cure overbreadth, and the parties do not ask any court to rewrite, blue-pencil, or reduce any covenant. Each restrictive covenant is a self-contained restraint, and the step-down duration and territory alternatives in the Non-Competition section and Cover Terms are agreed alternative restrictions that the parties intend to be separately enforceable on their own terms. If a covenant is found unenforceable, it is severed under the Enforceability and Severability section rather than rewritten.</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The covenants in this agreement are given in connection with Employee's employment. Any covenant given in connection with a sale of a business is outside the scope of this agreement and is to be set out in the transaction documents for that sale.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expires on its own stated end date. Each covenant is self-contained and is read and enforced on its own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